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BB9" w:rsidRPr="00C12717" w:rsidRDefault="00101958">
      <w:pPr>
        <w:spacing w:line="700" w:lineRule="exact"/>
        <w:jc w:val="center"/>
        <w:rPr>
          <w:rFonts w:ascii="方正小标宋简体" w:eastAsia="方正小标宋简体"/>
          <w:color w:val="000000" w:themeColor="text1"/>
          <w:sz w:val="44"/>
          <w:szCs w:val="44"/>
        </w:rPr>
      </w:pPr>
      <w:r w:rsidRPr="00C12717">
        <w:rPr>
          <w:rFonts w:ascii="方正小标宋简体" w:eastAsia="方正小标宋简体" w:hint="eastAsia"/>
          <w:color w:val="000000" w:themeColor="text1"/>
          <w:sz w:val="44"/>
          <w:szCs w:val="44"/>
        </w:rPr>
        <w:t xml:space="preserve"> </w:t>
      </w:r>
    </w:p>
    <w:p w:rsidR="00BE4BB9" w:rsidRPr="00C12717" w:rsidRDefault="00BE4BB9">
      <w:pPr>
        <w:spacing w:line="700" w:lineRule="exact"/>
        <w:jc w:val="center"/>
        <w:rPr>
          <w:rFonts w:ascii="方正小标宋简体" w:eastAsia="方正小标宋简体"/>
          <w:color w:val="000000" w:themeColor="text1"/>
          <w:sz w:val="44"/>
          <w:szCs w:val="44"/>
        </w:rPr>
      </w:pPr>
    </w:p>
    <w:p w:rsidR="00BE4BB9" w:rsidRPr="00C12717" w:rsidRDefault="00BE4BB9">
      <w:pPr>
        <w:spacing w:line="700" w:lineRule="exact"/>
        <w:jc w:val="center"/>
        <w:rPr>
          <w:rFonts w:ascii="方正小标宋简体" w:eastAsia="方正小标宋简体"/>
          <w:color w:val="000000" w:themeColor="text1"/>
          <w:sz w:val="44"/>
          <w:szCs w:val="44"/>
        </w:rPr>
      </w:pPr>
    </w:p>
    <w:p w:rsidR="00BE4BB9" w:rsidRPr="00C12717" w:rsidRDefault="00101958">
      <w:pPr>
        <w:spacing w:line="700" w:lineRule="exact"/>
        <w:jc w:val="center"/>
        <w:rPr>
          <w:rFonts w:ascii="方正小标宋简体" w:eastAsia="方正小标宋简体"/>
          <w:color w:val="000000" w:themeColor="text1"/>
          <w:sz w:val="44"/>
          <w:szCs w:val="44"/>
        </w:rPr>
      </w:pPr>
      <w:r w:rsidRPr="00C12717">
        <w:rPr>
          <w:rFonts w:ascii="方正小标宋简体" w:eastAsia="方正小标宋简体" w:hint="eastAsia"/>
          <w:color w:val="000000" w:themeColor="text1"/>
          <w:sz w:val="44"/>
          <w:szCs w:val="44"/>
        </w:rPr>
        <w:t>关于印发</w:t>
      </w:r>
      <w:proofErr w:type="gramStart"/>
      <w:r w:rsidRPr="00C12717">
        <w:rPr>
          <w:rFonts w:ascii="方正小标宋简体" w:eastAsia="方正小标宋简体" w:hint="eastAsia"/>
          <w:color w:val="000000" w:themeColor="text1"/>
          <w:sz w:val="44"/>
          <w:szCs w:val="44"/>
        </w:rPr>
        <w:t>《</w:t>
      </w:r>
      <w:proofErr w:type="gramEnd"/>
      <w:r w:rsidRPr="00C12717">
        <w:rPr>
          <w:rFonts w:ascii="方正小标宋简体" w:eastAsia="方正小标宋简体" w:hint="eastAsia"/>
          <w:color w:val="000000" w:themeColor="text1"/>
          <w:sz w:val="44"/>
          <w:szCs w:val="44"/>
        </w:rPr>
        <w:t>广西开</w:t>
      </w:r>
      <w:bookmarkStart w:id="0" w:name="_GoBack"/>
      <w:bookmarkEnd w:id="0"/>
      <w:r w:rsidRPr="00C12717">
        <w:rPr>
          <w:rFonts w:ascii="方正小标宋简体" w:eastAsia="方正小标宋简体" w:hint="eastAsia"/>
          <w:color w:val="000000" w:themeColor="text1"/>
          <w:sz w:val="44"/>
          <w:szCs w:val="44"/>
        </w:rPr>
        <w:t>展煤矿“一通三防”</w:t>
      </w:r>
    </w:p>
    <w:p w:rsidR="00BE4BB9" w:rsidRPr="00C12717" w:rsidRDefault="00101958">
      <w:pPr>
        <w:spacing w:line="700" w:lineRule="exact"/>
        <w:jc w:val="center"/>
        <w:rPr>
          <w:rFonts w:ascii="方正小标宋简体" w:eastAsia="方正小标宋简体"/>
          <w:color w:val="000000" w:themeColor="text1"/>
          <w:sz w:val="44"/>
          <w:szCs w:val="44"/>
        </w:rPr>
      </w:pPr>
      <w:r w:rsidRPr="00C12717">
        <w:rPr>
          <w:rFonts w:ascii="方正小标宋简体" w:eastAsia="方正小标宋简体" w:hint="eastAsia"/>
          <w:color w:val="000000" w:themeColor="text1"/>
          <w:sz w:val="44"/>
          <w:szCs w:val="44"/>
        </w:rPr>
        <w:t>专项监察工作方案</w:t>
      </w:r>
      <w:proofErr w:type="gramStart"/>
      <w:r w:rsidRPr="00C12717">
        <w:rPr>
          <w:rFonts w:ascii="方正小标宋简体" w:eastAsia="方正小标宋简体" w:hint="eastAsia"/>
          <w:color w:val="000000" w:themeColor="text1"/>
          <w:sz w:val="44"/>
          <w:szCs w:val="44"/>
        </w:rPr>
        <w:t>》</w:t>
      </w:r>
      <w:proofErr w:type="gramEnd"/>
      <w:r w:rsidRPr="00C12717">
        <w:rPr>
          <w:rFonts w:ascii="方正小标宋简体" w:eastAsia="方正小标宋简体" w:hint="eastAsia"/>
          <w:color w:val="000000" w:themeColor="text1"/>
          <w:sz w:val="44"/>
          <w:szCs w:val="44"/>
        </w:rPr>
        <w:t>的通知</w:t>
      </w:r>
    </w:p>
    <w:p w:rsidR="00BE4BB9" w:rsidRPr="00C12717" w:rsidRDefault="00BE4BB9">
      <w:pPr>
        <w:jc w:val="left"/>
        <w:rPr>
          <w:rFonts w:ascii="仿宋" w:eastAsia="仿宋" w:hAnsi="仿宋"/>
          <w:color w:val="000000" w:themeColor="text1"/>
          <w:sz w:val="32"/>
          <w:szCs w:val="32"/>
        </w:rPr>
      </w:pPr>
    </w:p>
    <w:p w:rsidR="00BE4BB9" w:rsidRPr="00C12717" w:rsidRDefault="00101958">
      <w:pPr>
        <w:jc w:val="left"/>
        <w:rPr>
          <w:rFonts w:ascii="仿宋" w:eastAsia="仿宋" w:hAnsi="仿宋"/>
          <w:color w:val="000000" w:themeColor="text1"/>
          <w:sz w:val="32"/>
          <w:szCs w:val="32"/>
        </w:rPr>
      </w:pPr>
      <w:r w:rsidRPr="00C12717">
        <w:rPr>
          <w:rFonts w:ascii="仿宋" w:eastAsia="仿宋" w:hAnsi="仿宋" w:hint="eastAsia"/>
          <w:color w:val="000000" w:themeColor="text1"/>
          <w:sz w:val="32"/>
          <w:szCs w:val="32"/>
        </w:rPr>
        <w:t>各产煤市、县（市、区）应急管理部门，各煤矿企业：</w:t>
      </w:r>
    </w:p>
    <w:p w:rsidR="00BE4BB9" w:rsidRPr="00C12717" w:rsidRDefault="00101958">
      <w:pPr>
        <w:ind w:firstLine="645"/>
        <w:jc w:val="left"/>
        <w:rPr>
          <w:rFonts w:ascii="仿宋" w:eastAsia="仿宋" w:hAnsi="仿宋"/>
          <w:color w:val="000000" w:themeColor="text1"/>
          <w:sz w:val="32"/>
          <w:szCs w:val="32"/>
        </w:rPr>
      </w:pPr>
      <w:r w:rsidRPr="00C12717">
        <w:rPr>
          <w:rFonts w:ascii="仿宋" w:eastAsia="仿宋" w:hAnsi="仿宋" w:hint="eastAsia"/>
          <w:color w:val="000000" w:themeColor="text1"/>
          <w:sz w:val="32"/>
          <w:szCs w:val="32"/>
        </w:rPr>
        <w:t>根据《国家煤矿安监局关于开展“一通三防”专项监察的通知》（煤安</w:t>
      </w:r>
      <w:proofErr w:type="gramStart"/>
      <w:r w:rsidRPr="00C12717">
        <w:rPr>
          <w:rFonts w:ascii="仿宋" w:eastAsia="仿宋" w:hAnsi="仿宋" w:hint="eastAsia"/>
          <w:color w:val="000000" w:themeColor="text1"/>
          <w:sz w:val="32"/>
          <w:szCs w:val="32"/>
        </w:rPr>
        <w:t>监</w:t>
      </w:r>
      <w:proofErr w:type="gramEnd"/>
      <w:r w:rsidRPr="00C12717">
        <w:rPr>
          <w:rFonts w:ascii="仿宋" w:eastAsia="仿宋" w:hAnsi="仿宋" w:hint="eastAsia"/>
          <w:color w:val="000000" w:themeColor="text1"/>
          <w:sz w:val="32"/>
          <w:szCs w:val="32"/>
        </w:rPr>
        <w:t>监察〔2020〕2号）要求，结合广西煤矿安全生产实际，我们研究制定了《广西开展煤矿“一通三防”专项监察工作方案》，现印发给你们，请认真贯彻落实。</w:t>
      </w:r>
    </w:p>
    <w:p w:rsidR="00BE4BB9" w:rsidRPr="00C12717" w:rsidRDefault="00101958">
      <w:pPr>
        <w:ind w:firstLine="645"/>
        <w:jc w:val="left"/>
        <w:rPr>
          <w:rFonts w:ascii="仿宋" w:eastAsia="仿宋" w:hAnsi="仿宋"/>
          <w:color w:val="000000" w:themeColor="text1"/>
          <w:sz w:val="32"/>
          <w:szCs w:val="32"/>
        </w:rPr>
      </w:pPr>
      <w:r w:rsidRPr="00C12717">
        <w:rPr>
          <w:rFonts w:ascii="仿宋" w:eastAsia="仿宋" w:hAnsi="仿宋" w:hint="eastAsia"/>
          <w:color w:val="000000" w:themeColor="text1"/>
          <w:sz w:val="32"/>
          <w:szCs w:val="32"/>
        </w:rPr>
        <w:t>附件：广西开展煤矿“一通三防”专项监察工作方案</w:t>
      </w:r>
    </w:p>
    <w:p w:rsidR="00BE4BB9" w:rsidRPr="00C12717" w:rsidRDefault="00BE4BB9">
      <w:pPr>
        <w:ind w:firstLine="645"/>
        <w:jc w:val="right"/>
        <w:rPr>
          <w:rFonts w:ascii="仿宋" w:eastAsia="仿宋" w:hAnsi="仿宋"/>
          <w:color w:val="000000" w:themeColor="text1"/>
          <w:sz w:val="32"/>
          <w:szCs w:val="32"/>
        </w:rPr>
      </w:pPr>
    </w:p>
    <w:p w:rsidR="00BE4BB9" w:rsidRPr="00C12717" w:rsidRDefault="00BE4BB9">
      <w:pPr>
        <w:jc w:val="left"/>
        <w:rPr>
          <w:rFonts w:ascii="仿宋" w:eastAsia="仿宋" w:hAnsi="仿宋"/>
          <w:color w:val="000000" w:themeColor="text1"/>
          <w:sz w:val="32"/>
          <w:szCs w:val="32"/>
        </w:rPr>
      </w:pPr>
    </w:p>
    <w:p w:rsidR="00BE4BB9" w:rsidRPr="00C12717" w:rsidRDefault="00BE4BB9">
      <w:pPr>
        <w:jc w:val="left"/>
        <w:rPr>
          <w:rFonts w:ascii="仿宋" w:eastAsia="仿宋" w:hAnsi="仿宋"/>
          <w:color w:val="000000" w:themeColor="text1"/>
          <w:sz w:val="32"/>
          <w:szCs w:val="32"/>
        </w:rPr>
      </w:pPr>
    </w:p>
    <w:p w:rsidR="00BE4BB9" w:rsidRPr="00C12717" w:rsidRDefault="00101958">
      <w:pPr>
        <w:ind w:firstLineChars="200" w:firstLine="640"/>
        <w:jc w:val="left"/>
        <w:rPr>
          <w:rFonts w:ascii="仿宋" w:eastAsia="仿宋" w:hAnsi="仿宋"/>
          <w:color w:val="000000" w:themeColor="text1"/>
          <w:sz w:val="32"/>
          <w:szCs w:val="32"/>
        </w:rPr>
      </w:pPr>
      <w:r w:rsidRPr="00C12717">
        <w:rPr>
          <w:rFonts w:ascii="仿宋" w:eastAsia="仿宋" w:hAnsi="仿宋" w:hint="eastAsia"/>
          <w:color w:val="000000" w:themeColor="text1"/>
          <w:sz w:val="32"/>
          <w:szCs w:val="32"/>
        </w:rPr>
        <w:t xml:space="preserve">广西煤矿安全监察局 </w:t>
      </w:r>
      <w:r w:rsidRPr="00C12717">
        <w:rPr>
          <w:rFonts w:ascii="仿宋" w:eastAsia="仿宋" w:hAnsi="仿宋"/>
          <w:color w:val="000000" w:themeColor="text1"/>
          <w:sz w:val="32"/>
          <w:szCs w:val="32"/>
        </w:rPr>
        <w:t xml:space="preserve">   </w:t>
      </w:r>
      <w:r w:rsidRPr="00C12717">
        <w:rPr>
          <w:rFonts w:ascii="仿宋" w:eastAsia="仿宋" w:hAnsi="仿宋" w:hint="eastAsia"/>
          <w:color w:val="000000" w:themeColor="text1"/>
          <w:sz w:val="32"/>
          <w:szCs w:val="32"/>
        </w:rPr>
        <w:t>广西壮族自治区应急管理厅</w:t>
      </w:r>
    </w:p>
    <w:p w:rsidR="00BE4BB9" w:rsidRPr="00C12717" w:rsidRDefault="00BE4BB9">
      <w:pPr>
        <w:ind w:right="960" w:firstLine="645"/>
        <w:jc w:val="right"/>
        <w:rPr>
          <w:rFonts w:ascii="仿宋" w:eastAsia="仿宋" w:hAnsi="仿宋"/>
          <w:color w:val="000000" w:themeColor="text1"/>
          <w:sz w:val="32"/>
          <w:szCs w:val="32"/>
        </w:rPr>
      </w:pPr>
    </w:p>
    <w:p w:rsidR="00BE4BB9" w:rsidRPr="00C12717" w:rsidRDefault="00101958">
      <w:pPr>
        <w:ind w:right="1280" w:firstLine="645"/>
        <w:jc w:val="right"/>
        <w:rPr>
          <w:rFonts w:ascii="仿宋" w:eastAsia="仿宋" w:hAnsi="仿宋"/>
          <w:color w:val="000000" w:themeColor="text1"/>
          <w:sz w:val="32"/>
          <w:szCs w:val="32"/>
        </w:rPr>
      </w:pPr>
      <w:r w:rsidRPr="00C12717">
        <w:rPr>
          <w:rFonts w:ascii="仿宋" w:eastAsia="仿宋" w:hAnsi="仿宋" w:hint="eastAsia"/>
          <w:color w:val="000000" w:themeColor="text1"/>
          <w:sz w:val="32"/>
          <w:szCs w:val="32"/>
        </w:rPr>
        <w:t>2</w:t>
      </w:r>
      <w:r w:rsidRPr="00C12717">
        <w:rPr>
          <w:rFonts w:ascii="仿宋" w:eastAsia="仿宋" w:hAnsi="仿宋"/>
          <w:color w:val="000000" w:themeColor="text1"/>
          <w:sz w:val="32"/>
          <w:szCs w:val="32"/>
        </w:rPr>
        <w:t>020</w:t>
      </w:r>
      <w:r w:rsidRPr="00C12717">
        <w:rPr>
          <w:rFonts w:ascii="仿宋" w:eastAsia="仿宋" w:hAnsi="仿宋" w:hint="eastAsia"/>
          <w:color w:val="000000" w:themeColor="text1"/>
          <w:sz w:val="32"/>
          <w:szCs w:val="32"/>
        </w:rPr>
        <w:t>年</w:t>
      </w:r>
      <w:r w:rsidRPr="00C12717">
        <w:rPr>
          <w:rFonts w:ascii="仿宋" w:eastAsia="仿宋" w:hAnsi="仿宋"/>
          <w:color w:val="000000" w:themeColor="text1"/>
          <w:sz w:val="32"/>
          <w:szCs w:val="32"/>
        </w:rPr>
        <w:t>1</w:t>
      </w:r>
      <w:r w:rsidRPr="00C12717">
        <w:rPr>
          <w:rFonts w:ascii="仿宋" w:eastAsia="仿宋" w:hAnsi="仿宋" w:hint="eastAsia"/>
          <w:color w:val="000000" w:themeColor="text1"/>
          <w:sz w:val="32"/>
          <w:szCs w:val="32"/>
        </w:rPr>
        <w:t>月</w:t>
      </w:r>
      <w:r w:rsidR="007C1D6C" w:rsidRPr="00C12717">
        <w:rPr>
          <w:rFonts w:ascii="仿宋" w:eastAsia="仿宋" w:hAnsi="仿宋" w:hint="eastAsia"/>
          <w:color w:val="000000" w:themeColor="text1"/>
          <w:sz w:val="32"/>
          <w:szCs w:val="32"/>
        </w:rPr>
        <w:t>2</w:t>
      </w:r>
      <w:r w:rsidR="007C1D6C" w:rsidRPr="00C12717">
        <w:rPr>
          <w:rFonts w:ascii="仿宋" w:eastAsia="仿宋" w:hAnsi="仿宋"/>
          <w:color w:val="000000" w:themeColor="text1"/>
          <w:sz w:val="32"/>
          <w:szCs w:val="32"/>
        </w:rPr>
        <w:t>2</w:t>
      </w:r>
      <w:r w:rsidRPr="00C12717">
        <w:rPr>
          <w:rFonts w:ascii="仿宋" w:eastAsia="仿宋" w:hAnsi="仿宋" w:hint="eastAsia"/>
          <w:color w:val="000000" w:themeColor="text1"/>
          <w:sz w:val="32"/>
          <w:szCs w:val="32"/>
        </w:rPr>
        <w:t>日</w:t>
      </w:r>
    </w:p>
    <w:p w:rsidR="00BE4BB9" w:rsidRPr="00C12717" w:rsidRDefault="00BE4BB9">
      <w:pPr>
        <w:ind w:firstLine="645"/>
        <w:jc w:val="left"/>
        <w:rPr>
          <w:rFonts w:ascii="仿宋" w:eastAsia="仿宋" w:hAnsi="仿宋"/>
          <w:color w:val="000000" w:themeColor="text1"/>
          <w:sz w:val="32"/>
          <w:szCs w:val="32"/>
        </w:rPr>
      </w:pPr>
    </w:p>
    <w:p w:rsidR="00BE4BB9" w:rsidRPr="00C12717" w:rsidRDefault="00BE4BB9">
      <w:pPr>
        <w:jc w:val="left"/>
        <w:rPr>
          <w:rFonts w:ascii="仿宋" w:eastAsia="仿宋" w:hAnsi="仿宋"/>
          <w:color w:val="000000" w:themeColor="text1"/>
          <w:sz w:val="32"/>
          <w:szCs w:val="32"/>
        </w:rPr>
      </w:pPr>
    </w:p>
    <w:p w:rsidR="00BE4BB9" w:rsidRPr="00C12717" w:rsidRDefault="00BE4BB9">
      <w:pPr>
        <w:jc w:val="left"/>
        <w:rPr>
          <w:rFonts w:ascii="仿宋" w:eastAsia="仿宋" w:hAnsi="仿宋"/>
          <w:color w:val="000000" w:themeColor="text1"/>
          <w:sz w:val="32"/>
          <w:szCs w:val="32"/>
        </w:rPr>
      </w:pPr>
    </w:p>
    <w:p w:rsidR="00BE4BB9" w:rsidRPr="00C12717" w:rsidRDefault="00101958">
      <w:pPr>
        <w:spacing w:line="700" w:lineRule="exact"/>
        <w:rPr>
          <w:rFonts w:ascii="仿宋" w:eastAsia="仿宋" w:hAnsi="仿宋"/>
          <w:color w:val="000000" w:themeColor="text1"/>
          <w:sz w:val="32"/>
          <w:szCs w:val="32"/>
        </w:rPr>
      </w:pPr>
      <w:r w:rsidRPr="00C12717">
        <w:rPr>
          <w:rFonts w:ascii="仿宋" w:eastAsia="仿宋" w:hAnsi="仿宋" w:hint="eastAsia"/>
          <w:color w:val="000000" w:themeColor="text1"/>
          <w:sz w:val="32"/>
          <w:szCs w:val="32"/>
        </w:rPr>
        <w:lastRenderedPageBreak/>
        <w:t>附件：</w:t>
      </w:r>
    </w:p>
    <w:p w:rsidR="00BE4BB9" w:rsidRPr="00C12717" w:rsidRDefault="00101958">
      <w:pPr>
        <w:spacing w:line="700" w:lineRule="exact"/>
        <w:jc w:val="center"/>
        <w:rPr>
          <w:rFonts w:ascii="方正小标宋简体" w:eastAsia="方正小标宋简体"/>
          <w:color w:val="000000" w:themeColor="text1"/>
          <w:sz w:val="36"/>
          <w:szCs w:val="36"/>
        </w:rPr>
      </w:pPr>
      <w:r w:rsidRPr="00C12717">
        <w:rPr>
          <w:rFonts w:ascii="方正小标宋简体" w:eastAsia="方正小标宋简体" w:hint="eastAsia"/>
          <w:color w:val="000000" w:themeColor="text1"/>
          <w:sz w:val="36"/>
          <w:szCs w:val="36"/>
        </w:rPr>
        <w:t>广西开展煤矿“一通三防”专项监察工作方案</w:t>
      </w:r>
    </w:p>
    <w:p w:rsidR="00BE4BB9" w:rsidRPr="00C12717" w:rsidRDefault="00BE4BB9">
      <w:pPr>
        <w:jc w:val="left"/>
        <w:rPr>
          <w:rFonts w:ascii="仿宋" w:eastAsia="仿宋" w:hAnsi="仿宋"/>
          <w:color w:val="000000" w:themeColor="text1"/>
          <w:sz w:val="32"/>
          <w:szCs w:val="32"/>
        </w:rPr>
      </w:pPr>
    </w:p>
    <w:p w:rsidR="00BE4BB9" w:rsidRPr="00C12717" w:rsidRDefault="00101958">
      <w:pPr>
        <w:ind w:firstLineChars="200" w:firstLine="640"/>
        <w:jc w:val="left"/>
        <w:rPr>
          <w:rFonts w:ascii="黑体" w:eastAsia="黑体" w:hAnsi="黑体"/>
          <w:color w:val="000000" w:themeColor="text1"/>
          <w:sz w:val="32"/>
          <w:szCs w:val="32"/>
        </w:rPr>
      </w:pPr>
      <w:r w:rsidRPr="00C12717">
        <w:rPr>
          <w:rFonts w:ascii="黑体" w:eastAsia="黑体" w:hAnsi="黑体" w:hint="eastAsia"/>
          <w:color w:val="000000" w:themeColor="text1"/>
          <w:sz w:val="32"/>
          <w:szCs w:val="32"/>
        </w:rPr>
        <w:t>一、总体要求</w:t>
      </w:r>
    </w:p>
    <w:p w:rsidR="00BE4BB9" w:rsidRPr="00C12717" w:rsidRDefault="00101958">
      <w:pPr>
        <w:ind w:firstLineChars="200" w:firstLine="640"/>
        <w:jc w:val="left"/>
        <w:rPr>
          <w:rFonts w:ascii="仿宋" w:eastAsia="仿宋" w:hAnsi="仿宋"/>
          <w:color w:val="000000" w:themeColor="text1"/>
          <w:sz w:val="32"/>
          <w:szCs w:val="32"/>
          <w:lang w:val="zh-CN"/>
        </w:rPr>
      </w:pPr>
      <w:r w:rsidRPr="00C12717">
        <w:rPr>
          <w:rFonts w:ascii="仿宋" w:eastAsia="仿宋" w:hAnsi="仿宋" w:hint="eastAsia"/>
          <w:color w:val="000000" w:themeColor="text1"/>
          <w:sz w:val="32"/>
          <w:szCs w:val="32"/>
        </w:rPr>
        <w:t>深入贯彻落</w:t>
      </w:r>
      <w:proofErr w:type="gramStart"/>
      <w:r w:rsidRPr="00C12717">
        <w:rPr>
          <w:rFonts w:ascii="仿宋" w:eastAsia="仿宋" w:hAnsi="仿宋" w:hint="eastAsia"/>
          <w:color w:val="000000" w:themeColor="text1"/>
          <w:sz w:val="32"/>
          <w:szCs w:val="32"/>
        </w:rPr>
        <w:t>实习近</w:t>
      </w:r>
      <w:proofErr w:type="gramEnd"/>
      <w:r w:rsidRPr="00C12717">
        <w:rPr>
          <w:rFonts w:ascii="仿宋" w:eastAsia="仿宋" w:hAnsi="仿宋" w:hint="eastAsia"/>
          <w:color w:val="000000" w:themeColor="text1"/>
          <w:sz w:val="32"/>
          <w:szCs w:val="32"/>
        </w:rPr>
        <w:t>平总书记关于安全生产重要指示批示精神，按照全国煤矿安全生产及全区安全生产工作会议部署，通过在今年上半年开展煤矿“一通三防”专项监察工作，有效推进重大灾害超前治理，坚决防范遏制重特大事故，确保全区煤矿安全生产形势持续稳定好转。</w:t>
      </w:r>
    </w:p>
    <w:p w:rsidR="00BE4BB9" w:rsidRPr="00C12717" w:rsidRDefault="00101958">
      <w:pPr>
        <w:widowControl/>
        <w:shd w:val="clear" w:color="auto" w:fill="FFFFFF"/>
        <w:spacing w:line="480" w:lineRule="auto"/>
        <w:ind w:firstLineChars="200" w:firstLine="640"/>
        <w:jc w:val="left"/>
        <w:rPr>
          <w:rFonts w:ascii="黑体" w:eastAsia="黑体" w:hAnsi="黑体" w:cs="宋体"/>
          <w:color w:val="000000" w:themeColor="text1"/>
          <w:kern w:val="0"/>
          <w:sz w:val="32"/>
          <w:szCs w:val="32"/>
        </w:rPr>
      </w:pPr>
      <w:r w:rsidRPr="00C12717">
        <w:rPr>
          <w:rFonts w:ascii="黑体" w:eastAsia="黑体" w:hAnsi="黑体" w:cs="宋体" w:hint="eastAsia"/>
          <w:bCs/>
          <w:color w:val="000000" w:themeColor="text1"/>
          <w:kern w:val="0"/>
          <w:sz w:val="32"/>
          <w:szCs w:val="32"/>
        </w:rPr>
        <w:t>二</w:t>
      </w:r>
      <w:r w:rsidRPr="00C12717">
        <w:rPr>
          <w:rFonts w:ascii="黑体" w:eastAsia="黑体" w:hAnsi="黑体" w:cs="宋体"/>
          <w:bCs/>
          <w:color w:val="000000" w:themeColor="text1"/>
          <w:kern w:val="0"/>
          <w:sz w:val="32"/>
          <w:szCs w:val="32"/>
        </w:rPr>
        <w:t>、</w:t>
      </w:r>
      <w:r w:rsidRPr="00C12717">
        <w:rPr>
          <w:rFonts w:ascii="黑体" w:eastAsia="黑体" w:hAnsi="黑体" w:cs="宋体" w:hint="eastAsia"/>
          <w:bCs/>
          <w:color w:val="000000" w:themeColor="text1"/>
          <w:kern w:val="0"/>
          <w:sz w:val="32"/>
          <w:szCs w:val="32"/>
        </w:rPr>
        <w:t>组织机构</w:t>
      </w:r>
    </w:p>
    <w:p w:rsidR="00BE4BB9" w:rsidRPr="00C12717" w:rsidRDefault="00101958">
      <w:pPr>
        <w:spacing w:line="560" w:lineRule="exact"/>
        <w:ind w:firstLineChars="200" w:firstLine="640"/>
        <w:rPr>
          <w:rFonts w:ascii="仿宋" w:eastAsia="仿宋" w:hAnsi="仿宋" w:cs="宋体"/>
          <w:color w:val="000000" w:themeColor="text1"/>
          <w:kern w:val="0"/>
          <w:sz w:val="32"/>
          <w:szCs w:val="32"/>
        </w:rPr>
      </w:pPr>
      <w:r w:rsidRPr="00C12717">
        <w:rPr>
          <w:rFonts w:ascii="仿宋" w:eastAsia="仿宋" w:hAnsi="仿宋" w:cs="宋体" w:hint="eastAsia"/>
          <w:color w:val="000000" w:themeColor="text1"/>
          <w:kern w:val="0"/>
          <w:sz w:val="32"/>
          <w:szCs w:val="32"/>
        </w:rPr>
        <w:t>成立广西煤矿“一通三防”专项监察工作领导小组。</w:t>
      </w:r>
    </w:p>
    <w:p w:rsidR="00BE4BB9" w:rsidRPr="00C12717" w:rsidRDefault="00101958">
      <w:pPr>
        <w:spacing w:line="560" w:lineRule="exact"/>
        <w:ind w:firstLineChars="200" w:firstLine="640"/>
        <w:rPr>
          <w:rFonts w:ascii="仿宋" w:eastAsia="仿宋" w:hAnsi="仿宋" w:cs="宋体"/>
          <w:color w:val="000000" w:themeColor="text1"/>
          <w:kern w:val="0"/>
          <w:sz w:val="32"/>
          <w:szCs w:val="32"/>
        </w:rPr>
      </w:pPr>
      <w:r w:rsidRPr="00C12717">
        <w:rPr>
          <w:rFonts w:ascii="仿宋" w:eastAsia="仿宋" w:hAnsi="仿宋" w:cs="宋体" w:hint="eastAsia"/>
          <w:color w:val="000000" w:themeColor="text1"/>
          <w:kern w:val="0"/>
          <w:sz w:val="32"/>
          <w:szCs w:val="32"/>
        </w:rPr>
        <w:t>组  长：田  洪  广西煤矿安监局局长</w:t>
      </w:r>
    </w:p>
    <w:p w:rsidR="00BE4BB9" w:rsidRPr="00C12717" w:rsidRDefault="00101958">
      <w:pPr>
        <w:spacing w:line="560" w:lineRule="exact"/>
        <w:ind w:firstLineChars="200" w:firstLine="640"/>
        <w:rPr>
          <w:rFonts w:ascii="仿宋" w:eastAsia="仿宋" w:hAnsi="仿宋" w:cs="宋体"/>
          <w:color w:val="000000" w:themeColor="text1"/>
          <w:kern w:val="0"/>
          <w:sz w:val="32"/>
          <w:szCs w:val="32"/>
        </w:rPr>
      </w:pPr>
      <w:r w:rsidRPr="00C12717">
        <w:rPr>
          <w:rFonts w:ascii="仿宋" w:eastAsia="仿宋" w:hAnsi="仿宋" w:cs="宋体" w:hint="eastAsia"/>
          <w:color w:val="000000" w:themeColor="text1"/>
          <w:kern w:val="0"/>
          <w:sz w:val="32"/>
          <w:szCs w:val="32"/>
        </w:rPr>
        <w:t>副组长：玉新年  自治区应急管理厅副厅长</w:t>
      </w:r>
    </w:p>
    <w:p w:rsidR="00BE4BB9" w:rsidRPr="00C12717" w:rsidRDefault="00101958">
      <w:pPr>
        <w:spacing w:line="560" w:lineRule="exact"/>
        <w:ind w:firstLineChars="200" w:firstLine="640"/>
        <w:rPr>
          <w:rFonts w:ascii="仿宋" w:eastAsia="仿宋" w:hAnsi="仿宋" w:cs="宋体"/>
          <w:color w:val="000000" w:themeColor="text1"/>
          <w:kern w:val="0"/>
          <w:sz w:val="32"/>
          <w:szCs w:val="32"/>
        </w:rPr>
      </w:pPr>
      <w:r w:rsidRPr="00C12717">
        <w:rPr>
          <w:rFonts w:ascii="仿宋" w:eastAsia="仿宋" w:hAnsi="仿宋" w:cs="宋体" w:hint="eastAsia"/>
          <w:color w:val="000000" w:themeColor="text1"/>
          <w:kern w:val="0"/>
          <w:sz w:val="32"/>
          <w:szCs w:val="32"/>
        </w:rPr>
        <w:t xml:space="preserve">        梁  杰  广西煤矿安监局副巡视员</w:t>
      </w:r>
    </w:p>
    <w:p w:rsidR="00BE4BB9" w:rsidRPr="00C12717" w:rsidRDefault="00101958">
      <w:pPr>
        <w:spacing w:line="560" w:lineRule="exact"/>
        <w:ind w:firstLineChars="200" w:firstLine="640"/>
        <w:rPr>
          <w:rFonts w:ascii="仿宋" w:eastAsia="仿宋" w:hAnsi="仿宋" w:cs="宋体"/>
          <w:color w:val="000000" w:themeColor="text1"/>
          <w:kern w:val="0"/>
          <w:sz w:val="32"/>
          <w:szCs w:val="32"/>
        </w:rPr>
      </w:pPr>
      <w:r w:rsidRPr="00C12717">
        <w:rPr>
          <w:rFonts w:ascii="仿宋" w:eastAsia="仿宋" w:hAnsi="仿宋" w:cs="宋体" w:hint="eastAsia"/>
          <w:color w:val="000000" w:themeColor="text1"/>
          <w:kern w:val="0"/>
          <w:sz w:val="32"/>
          <w:szCs w:val="32"/>
        </w:rPr>
        <w:t>成 员： 周昌健  广西煤矿安监局安全监察处处长</w:t>
      </w:r>
    </w:p>
    <w:p w:rsidR="00BE4BB9" w:rsidRPr="00C12717" w:rsidRDefault="00101958">
      <w:pPr>
        <w:spacing w:line="560" w:lineRule="exact"/>
        <w:ind w:firstLineChars="200" w:firstLine="640"/>
        <w:rPr>
          <w:rFonts w:ascii="仿宋" w:eastAsia="仿宋" w:hAnsi="仿宋" w:cs="宋体"/>
          <w:color w:val="000000" w:themeColor="text1"/>
          <w:kern w:val="0"/>
          <w:sz w:val="32"/>
          <w:szCs w:val="32"/>
        </w:rPr>
      </w:pPr>
      <w:r w:rsidRPr="00C12717">
        <w:rPr>
          <w:rFonts w:ascii="仿宋" w:eastAsia="仿宋" w:hAnsi="仿宋" w:cs="宋体" w:hint="eastAsia"/>
          <w:color w:val="000000" w:themeColor="text1"/>
          <w:kern w:val="0"/>
          <w:sz w:val="32"/>
          <w:szCs w:val="32"/>
        </w:rPr>
        <w:t xml:space="preserve">        谢家旺  自治区应急管理</w:t>
      </w:r>
      <w:proofErr w:type="gramStart"/>
      <w:r w:rsidRPr="00C12717">
        <w:rPr>
          <w:rFonts w:ascii="仿宋" w:eastAsia="仿宋" w:hAnsi="仿宋" w:cs="宋体" w:hint="eastAsia"/>
          <w:color w:val="000000" w:themeColor="text1"/>
          <w:kern w:val="0"/>
          <w:sz w:val="32"/>
          <w:szCs w:val="32"/>
        </w:rPr>
        <w:t>厅执法</w:t>
      </w:r>
      <w:proofErr w:type="gramEnd"/>
      <w:r w:rsidRPr="00C12717">
        <w:rPr>
          <w:rFonts w:ascii="仿宋" w:eastAsia="仿宋" w:hAnsi="仿宋" w:cs="宋体" w:hint="eastAsia"/>
          <w:color w:val="000000" w:themeColor="text1"/>
          <w:kern w:val="0"/>
          <w:sz w:val="32"/>
          <w:szCs w:val="32"/>
        </w:rPr>
        <w:t>处处长</w:t>
      </w:r>
    </w:p>
    <w:p w:rsidR="00BE4BB9" w:rsidRPr="00C12717" w:rsidRDefault="00101958">
      <w:pPr>
        <w:spacing w:line="560" w:lineRule="exact"/>
        <w:ind w:firstLineChars="600" w:firstLine="1920"/>
        <w:rPr>
          <w:rFonts w:ascii="仿宋" w:eastAsia="仿宋" w:hAnsi="仿宋" w:cs="宋体"/>
          <w:color w:val="000000" w:themeColor="text1"/>
          <w:kern w:val="0"/>
          <w:sz w:val="32"/>
          <w:szCs w:val="32"/>
        </w:rPr>
      </w:pPr>
      <w:r w:rsidRPr="00C12717">
        <w:rPr>
          <w:rFonts w:ascii="仿宋" w:eastAsia="仿宋" w:hAnsi="仿宋" w:cs="宋体" w:hint="eastAsia"/>
          <w:color w:val="000000" w:themeColor="text1"/>
          <w:kern w:val="0"/>
          <w:sz w:val="32"/>
          <w:szCs w:val="32"/>
        </w:rPr>
        <w:t>覃晓尧  广西煤矿安监局安全监察处副处长</w:t>
      </w:r>
    </w:p>
    <w:p w:rsidR="00BE4BB9" w:rsidRPr="00C12717" w:rsidRDefault="00101958">
      <w:pPr>
        <w:spacing w:line="560" w:lineRule="exact"/>
        <w:ind w:firstLineChars="600" w:firstLine="1920"/>
        <w:rPr>
          <w:rFonts w:ascii="仿宋" w:eastAsia="仿宋" w:hAnsi="仿宋" w:cs="宋体"/>
          <w:color w:val="000000" w:themeColor="text1"/>
          <w:kern w:val="0"/>
          <w:sz w:val="32"/>
          <w:szCs w:val="32"/>
        </w:rPr>
      </w:pPr>
      <w:r w:rsidRPr="00C12717">
        <w:rPr>
          <w:rFonts w:ascii="仿宋" w:eastAsia="仿宋" w:hAnsi="仿宋" w:cs="宋体" w:hint="eastAsia"/>
          <w:color w:val="000000" w:themeColor="text1"/>
          <w:kern w:val="0"/>
          <w:sz w:val="32"/>
          <w:szCs w:val="32"/>
        </w:rPr>
        <w:t>黄  贤  广西煤矿安监局安全技术中心主任</w:t>
      </w:r>
    </w:p>
    <w:p w:rsidR="00BE4BB9" w:rsidRPr="00C12717" w:rsidRDefault="00101958">
      <w:pPr>
        <w:spacing w:line="560" w:lineRule="exact"/>
        <w:ind w:firstLineChars="600" w:firstLine="1920"/>
        <w:rPr>
          <w:rFonts w:ascii="仿宋" w:eastAsia="仿宋" w:hAnsi="仿宋" w:cs="宋体"/>
          <w:color w:val="000000" w:themeColor="text1"/>
          <w:kern w:val="0"/>
          <w:sz w:val="32"/>
          <w:szCs w:val="32"/>
        </w:rPr>
      </w:pPr>
      <w:proofErr w:type="gramStart"/>
      <w:r w:rsidRPr="00C12717">
        <w:rPr>
          <w:rFonts w:ascii="仿宋" w:eastAsia="仿宋" w:hAnsi="仿宋" w:cs="宋体" w:hint="eastAsia"/>
          <w:color w:val="000000" w:themeColor="text1"/>
          <w:kern w:val="0"/>
          <w:sz w:val="32"/>
          <w:szCs w:val="32"/>
        </w:rPr>
        <w:t>黄杰贞</w:t>
      </w:r>
      <w:proofErr w:type="gramEnd"/>
      <w:r w:rsidRPr="00C12717">
        <w:rPr>
          <w:rFonts w:ascii="仿宋" w:eastAsia="仿宋" w:hAnsi="仿宋" w:cs="宋体" w:hint="eastAsia"/>
          <w:color w:val="000000" w:themeColor="text1"/>
          <w:kern w:val="0"/>
          <w:sz w:val="32"/>
          <w:szCs w:val="32"/>
        </w:rPr>
        <w:t xml:space="preserve"> 自治区应急管理厅机关服务中心副主任</w:t>
      </w:r>
    </w:p>
    <w:p w:rsidR="00BE4BB9" w:rsidRPr="00C12717" w:rsidRDefault="00101958">
      <w:pPr>
        <w:spacing w:line="560" w:lineRule="exact"/>
        <w:ind w:firstLineChars="200" w:firstLine="640"/>
        <w:rPr>
          <w:rFonts w:ascii="仿宋" w:eastAsia="仿宋" w:hAnsi="仿宋" w:cs="宋体"/>
          <w:color w:val="000000" w:themeColor="text1"/>
          <w:kern w:val="0"/>
          <w:sz w:val="32"/>
          <w:szCs w:val="32"/>
        </w:rPr>
      </w:pPr>
      <w:r w:rsidRPr="00C12717">
        <w:rPr>
          <w:rFonts w:ascii="仿宋" w:eastAsia="仿宋" w:hAnsi="仿宋" w:cs="宋体" w:hint="eastAsia"/>
          <w:color w:val="000000" w:themeColor="text1"/>
          <w:kern w:val="0"/>
          <w:sz w:val="32"/>
          <w:szCs w:val="32"/>
        </w:rPr>
        <w:t>工作领导小组下设办公室，负责煤矿“一通三防”专项监察工作日常事务，周昌健兼任办公室主任。</w:t>
      </w:r>
    </w:p>
    <w:p w:rsidR="00BE4BB9" w:rsidRPr="00C12717" w:rsidRDefault="00101958">
      <w:pPr>
        <w:spacing w:line="560" w:lineRule="exact"/>
        <w:ind w:firstLineChars="200" w:firstLine="640"/>
        <w:rPr>
          <w:rFonts w:ascii="仿宋" w:eastAsia="仿宋" w:hAnsi="仿宋" w:cs="宋体"/>
          <w:color w:val="000000" w:themeColor="text1"/>
          <w:kern w:val="0"/>
          <w:sz w:val="32"/>
          <w:szCs w:val="32"/>
        </w:rPr>
      </w:pPr>
      <w:r w:rsidRPr="00C12717">
        <w:rPr>
          <w:rFonts w:ascii="仿宋" w:eastAsia="仿宋" w:hAnsi="仿宋" w:cs="宋体" w:hint="eastAsia"/>
          <w:color w:val="000000" w:themeColor="text1"/>
          <w:kern w:val="0"/>
          <w:sz w:val="32"/>
          <w:szCs w:val="32"/>
        </w:rPr>
        <w:t>广西煤矿安监局邓奕江为联络员，负责统筹协调、跟踪督办等日常工作。</w:t>
      </w:r>
    </w:p>
    <w:p w:rsidR="00BE4BB9" w:rsidRPr="00C12717" w:rsidRDefault="00101958">
      <w:pPr>
        <w:spacing w:line="560" w:lineRule="exact"/>
        <w:ind w:firstLineChars="200" w:firstLine="640"/>
        <w:rPr>
          <w:rFonts w:ascii="黑体" w:eastAsia="黑体" w:hAnsi="黑体"/>
          <w:color w:val="000000" w:themeColor="text1"/>
          <w:sz w:val="32"/>
          <w:szCs w:val="32"/>
        </w:rPr>
      </w:pPr>
      <w:r w:rsidRPr="00C12717">
        <w:rPr>
          <w:rFonts w:ascii="黑体" w:eastAsia="黑体" w:hAnsi="黑体" w:hint="eastAsia"/>
          <w:color w:val="000000" w:themeColor="text1"/>
          <w:sz w:val="32"/>
          <w:szCs w:val="32"/>
        </w:rPr>
        <w:lastRenderedPageBreak/>
        <w:t>三、监察对象</w:t>
      </w:r>
    </w:p>
    <w:p w:rsidR="00BE4BB9" w:rsidRPr="00C12717" w:rsidRDefault="00101958">
      <w:pPr>
        <w:spacing w:line="560" w:lineRule="exact"/>
        <w:ind w:firstLineChars="200" w:firstLine="640"/>
        <w:rPr>
          <w:rFonts w:ascii="仿宋" w:eastAsia="仿宋" w:hAnsi="仿宋"/>
          <w:color w:val="000000" w:themeColor="text1"/>
          <w:sz w:val="32"/>
          <w:szCs w:val="32"/>
        </w:rPr>
      </w:pPr>
      <w:r w:rsidRPr="00C12717">
        <w:rPr>
          <w:rFonts w:ascii="仿宋" w:eastAsia="仿宋" w:hAnsi="仿宋" w:hint="eastAsia"/>
          <w:color w:val="000000" w:themeColor="text1"/>
          <w:sz w:val="32"/>
          <w:szCs w:val="32"/>
        </w:rPr>
        <w:t>所有正常生产建设矿井。</w:t>
      </w:r>
    </w:p>
    <w:p w:rsidR="00BE4BB9" w:rsidRPr="00C12717" w:rsidRDefault="00101958">
      <w:pPr>
        <w:spacing w:line="560" w:lineRule="exact"/>
        <w:ind w:firstLineChars="200" w:firstLine="640"/>
        <w:rPr>
          <w:rFonts w:ascii="黑体" w:eastAsia="黑体" w:hAnsi="黑体"/>
          <w:color w:val="000000" w:themeColor="text1"/>
          <w:sz w:val="32"/>
          <w:szCs w:val="32"/>
        </w:rPr>
      </w:pPr>
      <w:r w:rsidRPr="00C12717">
        <w:rPr>
          <w:rFonts w:ascii="黑体" w:eastAsia="黑体" w:hAnsi="黑体" w:hint="eastAsia"/>
          <w:color w:val="000000" w:themeColor="text1"/>
          <w:sz w:val="32"/>
          <w:szCs w:val="32"/>
        </w:rPr>
        <w:t>四、工作分工和时间安排</w:t>
      </w:r>
    </w:p>
    <w:p w:rsidR="00BE4BB9" w:rsidRPr="00C12717" w:rsidRDefault="00101958">
      <w:pPr>
        <w:ind w:firstLineChars="200" w:firstLine="640"/>
        <w:rPr>
          <w:rFonts w:ascii="仿宋" w:eastAsia="仿宋" w:hAnsi="仿宋"/>
          <w:color w:val="000000" w:themeColor="text1"/>
          <w:sz w:val="32"/>
          <w:szCs w:val="32"/>
        </w:rPr>
      </w:pPr>
      <w:r w:rsidRPr="00C12717">
        <w:rPr>
          <w:rFonts w:ascii="仿宋" w:eastAsia="仿宋" w:hAnsi="仿宋" w:hint="eastAsia"/>
          <w:color w:val="000000" w:themeColor="text1"/>
          <w:sz w:val="32"/>
          <w:szCs w:val="32"/>
        </w:rPr>
        <w:t>此次“一通三防”专项监察工作由广西煤矿安监局牵头，自治区、市、县应急管理部门配合</w:t>
      </w:r>
      <w:r w:rsidR="00B56566" w:rsidRPr="00C12717">
        <w:rPr>
          <w:rFonts w:ascii="仿宋" w:eastAsia="仿宋" w:hAnsi="仿宋" w:hint="eastAsia"/>
          <w:color w:val="000000" w:themeColor="text1"/>
          <w:sz w:val="32"/>
          <w:szCs w:val="32"/>
        </w:rPr>
        <w:t>实施</w:t>
      </w:r>
      <w:r w:rsidRPr="00C12717">
        <w:rPr>
          <w:rFonts w:ascii="仿宋" w:eastAsia="仿宋" w:hAnsi="仿宋" w:hint="eastAsia"/>
          <w:color w:val="000000" w:themeColor="text1"/>
          <w:sz w:val="32"/>
          <w:szCs w:val="32"/>
        </w:rPr>
        <w:t>。从20</w:t>
      </w:r>
      <w:r w:rsidRPr="00C12717">
        <w:rPr>
          <w:rFonts w:ascii="仿宋" w:eastAsia="仿宋" w:hAnsi="仿宋"/>
          <w:color w:val="000000" w:themeColor="text1"/>
          <w:sz w:val="32"/>
          <w:szCs w:val="32"/>
        </w:rPr>
        <w:t>20</w:t>
      </w:r>
      <w:r w:rsidRPr="00C12717">
        <w:rPr>
          <w:rFonts w:ascii="仿宋" w:eastAsia="仿宋" w:hAnsi="仿宋" w:hint="eastAsia"/>
          <w:color w:val="000000" w:themeColor="text1"/>
          <w:sz w:val="32"/>
          <w:szCs w:val="32"/>
        </w:rPr>
        <w:t>年</w:t>
      </w:r>
      <w:r w:rsidRPr="00C12717">
        <w:rPr>
          <w:rFonts w:ascii="仿宋" w:eastAsia="仿宋" w:hAnsi="仿宋"/>
          <w:color w:val="000000" w:themeColor="text1"/>
          <w:sz w:val="32"/>
          <w:szCs w:val="32"/>
        </w:rPr>
        <w:t>1</w:t>
      </w:r>
      <w:r w:rsidRPr="00C12717">
        <w:rPr>
          <w:rFonts w:ascii="仿宋" w:eastAsia="仿宋" w:hAnsi="仿宋" w:hint="eastAsia"/>
          <w:color w:val="000000" w:themeColor="text1"/>
          <w:sz w:val="32"/>
          <w:szCs w:val="32"/>
        </w:rPr>
        <w:t>月开始，至20</w:t>
      </w:r>
      <w:r w:rsidRPr="00C12717">
        <w:rPr>
          <w:rFonts w:ascii="仿宋" w:eastAsia="仿宋" w:hAnsi="仿宋"/>
          <w:color w:val="000000" w:themeColor="text1"/>
          <w:sz w:val="32"/>
          <w:szCs w:val="32"/>
        </w:rPr>
        <w:t>20</w:t>
      </w:r>
      <w:r w:rsidRPr="00C12717">
        <w:rPr>
          <w:rFonts w:ascii="仿宋" w:eastAsia="仿宋" w:hAnsi="仿宋" w:hint="eastAsia"/>
          <w:color w:val="000000" w:themeColor="text1"/>
          <w:sz w:val="32"/>
          <w:szCs w:val="32"/>
        </w:rPr>
        <w:t>年６月底结束。</w:t>
      </w:r>
    </w:p>
    <w:p w:rsidR="00BE4BB9" w:rsidRPr="00C12717" w:rsidRDefault="00101958">
      <w:pPr>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（一）组织煤矿自查自改和督促整改隐患。</w:t>
      </w:r>
      <w:r w:rsidRPr="00C12717">
        <w:rPr>
          <w:rFonts w:ascii="仿宋" w:eastAsia="仿宋" w:hAnsi="仿宋" w:hint="eastAsia"/>
          <w:color w:val="000000" w:themeColor="text1"/>
          <w:sz w:val="32"/>
          <w:szCs w:val="32"/>
        </w:rPr>
        <w:t>由相关产煤市、县（市、区）应急管理部门按照属地监管原则，督促煤矿企业落实安全生产主体责任，对照专项监察内容进行自查自改，对自查出的隐患和问题按照“五落实”的要求进行整改，并于2</w:t>
      </w:r>
      <w:r w:rsidRPr="00C12717">
        <w:rPr>
          <w:rFonts w:ascii="仿宋" w:eastAsia="仿宋" w:hAnsi="仿宋"/>
          <w:color w:val="000000" w:themeColor="text1"/>
          <w:sz w:val="32"/>
          <w:szCs w:val="32"/>
        </w:rPr>
        <w:t>020</w:t>
      </w:r>
      <w:r w:rsidRPr="00C12717">
        <w:rPr>
          <w:rFonts w:ascii="仿宋" w:eastAsia="仿宋" w:hAnsi="仿宋" w:hint="eastAsia"/>
          <w:color w:val="000000" w:themeColor="text1"/>
          <w:sz w:val="32"/>
          <w:szCs w:val="32"/>
        </w:rPr>
        <w:t>年2月底前形成自查报告报自治区、市、县三级应急管理部门和广西煤矿安监局。对企业自查发现且已采取有效防控措施的隐患和问题，可从轻或免予处罚。</w:t>
      </w:r>
    </w:p>
    <w:p w:rsidR="00BE4BB9" w:rsidRPr="00C12717" w:rsidRDefault="00101958">
      <w:pPr>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（二）开展“一通三防”专项监察执法。</w:t>
      </w:r>
      <w:r w:rsidRPr="00C12717">
        <w:rPr>
          <w:rFonts w:ascii="仿宋" w:eastAsia="仿宋" w:hAnsi="仿宋" w:hint="eastAsia"/>
          <w:color w:val="000000" w:themeColor="text1"/>
          <w:sz w:val="32"/>
          <w:szCs w:val="32"/>
        </w:rPr>
        <w:t>广西煤矿安监局结合每月监察执法计划，于20</w:t>
      </w:r>
      <w:r w:rsidRPr="00C12717">
        <w:rPr>
          <w:rFonts w:ascii="仿宋" w:eastAsia="仿宋" w:hAnsi="仿宋"/>
          <w:color w:val="000000" w:themeColor="text1"/>
          <w:sz w:val="32"/>
          <w:szCs w:val="32"/>
        </w:rPr>
        <w:t>20</w:t>
      </w:r>
      <w:r w:rsidRPr="00C12717">
        <w:rPr>
          <w:rFonts w:ascii="仿宋" w:eastAsia="仿宋" w:hAnsi="仿宋" w:hint="eastAsia"/>
          <w:color w:val="000000" w:themeColor="text1"/>
          <w:sz w:val="32"/>
          <w:szCs w:val="32"/>
        </w:rPr>
        <w:t>年６月３０日前完成对全区所有正常生产建设矿井开展“一通三防”专项监察执法工作，相关产煤市、县（市、区）应急管理部门予以配合，自治区应急管理厅根据执法计划与广西煤矿安监局做好配合。</w:t>
      </w:r>
    </w:p>
    <w:p w:rsidR="00BE4BB9" w:rsidRPr="00C12717" w:rsidRDefault="00101958">
      <w:pPr>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（三）督办煤矿整改重大隐患和问题。</w:t>
      </w:r>
      <w:r w:rsidRPr="00C12717">
        <w:rPr>
          <w:rFonts w:ascii="仿宋" w:eastAsia="仿宋" w:hAnsi="仿宋" w:hint="eastAsia"/>
          <w:color w:val="000000" w:themeColor="text1"/>
          <w:sz w:val="32"/>
          <w:szCs w:val="32"/>
        </w:rPr>
        <w:t>相关产煤市、县（市、区）应急管理部门按照属地监管原则，对“一通三防”专项监察查出的重大隐患实行挂牌督办，督促煤矿认真整改，确保逐项整改到位。</w:t>
      </w:r>
    </w:p>
    <w:p w:rsidR="00BE4BB9" w:rsidRPr="00C12717" w:rsidRDefault="00101958">
      <w:pPr>
        <w:ind w:firstLineChars="200" w:firstLine="640"/>
        <w:rPr>
          <w:rFonts w:ascii="黑体" w:eastAsia="黑体" w:hAnsi="黑体"/>
          <w:color w:val="000000" w:themeColor="text1"/>
          <w:sz w:val="32"/>
          <w:szCs w:val="32"/>
        </w:rPr>
      </w:pPr>
      <w:r w:rsidRPr="00C12717">
        <w:rPr>
          <w:rFonts w:ascii="黑体" w:eastAsia="黑体" w:hAnsi="黑体" w:hint="eastAsia"/>
          <w:color w:val="000000" w:themeColor="text1"/>
          <w:sz w:val="32"/>
          <w:szCs w:val="32"/>
        </w:rPr>
        <w:lastRenderedPageBreak/>
        <w:t>五、专项监察主要内容</w:t>
      </w:r>
    </w:p>
    <w:p w:rsidR="00BE4BB9" w:rsidRPr="00C12717" w:rsidRDefault="00101958">
      <w:pPr>
        <w:spacing w:line="560" w:lineRule="exact"/>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（一）“一通三防”管理能力建设情况。</w:t>
      </w:r>
      <w:r w:rsidRPr="00C12717">
        <w:rPr>
          <w:rFonts w:ascii="仿宋" w:eastAsia="仿宋" w:hAnsi="仿宋" w:hint="eastAsia"/>
          <w:color w:val="000000" w:themeColor="text1"/>
          <w:sz w:val="32"/>
          <w:szCs w:val="32"/>
        </w:rPr>
        <w:t>煤矿企业是否按规定建立专门机构和队伍，配备相应安全、技术管理人员，人员素质和能力是否满足矿井实际需要。煤矿企业是否建立健全符合规定的瓦斯检查、防灭火、防尘、测风、瓦斯超限分析预警、通风仪器仪表维护调校等管理制度和岗位责任制。监测监控工、放炮工及瓦斯检查工等特殊工种配备是否满足要求并持证上岗。总工程师是否具备相应的专业能力，各项制度和岗位责任制是否落实。</w:t>
      </w:r>
    </w:p>
    <w:p w:rsidR="00BE4BB9" w:rsidRPr="00C12717" w:rsidRDefault="00101958">
      <w:pPr>
        <w:spacing w:line="560" w:lineRule="exact"/>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（二）矿井通风管理情况。</w:t>
      </w:r>
      <w:r w:rsidRPr="00C12717">
        <w:rPr>
          <w:rFonts w:ascii="仿宋" w:eastAsia="仿宋" w:hAnsi="仿宋" w:hint="eastAsia"/>
          <w:color w:val="000000" w:themeColor="text1"/>
          <w:sz w:val="32"/>
          <w:szCs w:val="32"/>
        </w:rPr>
        <w:t>矿井通风系统是否稳定可靠，生产水平和采（盘）区是否实行分区通风，采（盘）区进、回风</w:t>
      </w:r>
      <w:proofErr w:type="gramStart"/>
      <w:r w:rsidRPr="00C12717">
        <w:rPr>
          <w:rFonts w:ascii="仿宋" w:eastAsia="仿宋" w:hAnsi="仿宋" w:hint="eastAsia"/>
          <w:color w:val="000000" w:themeColor="text1"/>
          <w:sz w:val="32"/>
          <w:szCs w:val="32"/>
        </w:rPr>
        <w:t>巷是否</w:t>
      </w:r>
      <w:proofErr w:type="gramEnd"/>
      <w:r w:rsidRPr="00C12717">
        <w:rPr>
          <w:rFonts w:ascii="仿宋" w:eastAsia="仿宋" w:hAnsi="仿宋" w:hint="eastAsia"/>
          <w:color w:val="000000" w:themeColor="text1"/>
          <w:sz w:val="32"/>
          <w:szCs w:val="32"/>
        </w:rPr>
        <w:t>贯穿整个采（盘）区。高瓦斯、开采容易自燃煤层矿井以及低瓦斯矿井开采煤层群采用联合布置的采（盘）区是否设置专用回风巷。采掘工作面是否独立通风。是否存在违规串联通风、微风、循环风作业的情形。风门、风墙、密闭、风机等主要通风设施、设备是否按规定管理和设置。</w:t>
      </w:r>
    </w:p>
    <w:p w:rsidR="00BE4BB9" w:rsidRPr="00C12717" w:rsidRDefault="00101958">
      <w:pPr>
        <w:spacing w:line="560" w:lineRule="exact"/>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（三）瓦斯防治情况。</w:t>
      </w:r>
      <w:r w:rsidRPr="00C12717">
        <w:rPr>
          <w:rFonts w:ascii="仿宋" w:eastAsia="仿宋" w:hAnsi="仿宋" w:hint="eastAsia"/>
          <w:color w:val="000000" w:themeColor="text1"/>
          <w:sz w:val="32"/>
          <w:szCs w:val="32"/>
        </w:rPr>
        <w:t>是否按规定开展瓦斯等级鉴定工作，是否开展地质预测预报工作，掘进工作面设计前是否按规定编制地质说明书，说明工作面瓦斯地质特征等情况，并报矿总工程师批准；掘进的地质因素不确定时，是否采取物探、钻探等手段开展地质探测工作。是否落实瓦斯超限停电撤人、分析原因、停产整改和追究责任四项措施。是否按规定开展瓦斯检查，入井人员是否按规定携带瓦斯检测仪。采掘部署是否有利于瓦斯治理， “三量”是否符合规定，尤其是低瓦斯矿井是否存在</w:t>
      </w:r>
      <w:r w:rsidRPr="00C12717">
        <w:rPr>
          <w:rFonts w:ascii="仿宋" w:eastAsia="仿宋" w:hAnsi="仿宋" w:hint="eastAsia"/>
          <w:color w:val="000000" w:themeColor="text1"/>
          <w:sz w:val="32"/>
          <w:szCs w:val="32"/>
        </w:rPr>
        <w:lastRenderedPageBreak/>
        <w:t>无风微风、超能力、超强度组织生产的行为。</w:t>
      </w:r>
    </w:p>
    <w:p w:rsidR="00BE4BB9" w:rsidRPr="00C12717" w:rsidRDefault="00101958">
      <w:pPr>
        <w:spacing w:line="560" w:lineRule="exact"/>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（四）安全监控系统运行情况。</w:t>
      </w:r>
      <w:r w:rsidRPr="00C12717">
        <w:rPr>
          <w:rFonts w:ascii="仿宋" w:eastAsia="仿宋" w:hAnsi="仿宋" w:hint="eastAsia"/>
          <w:color w:val="000000" w:themeColor="text1"/>
          <w:sz w:val="32"/>
          <w:szCs w:val="32"/>
        </w:rPr>
        <w:t>安全监控系统是否按要求进行升级改造并组织验收，运行是否正常，断电是否可靠。甲烷等传感器设置地点，报警、断电、复电浓度和断电范围设置是否符合要求。安全监控设备是否每月至少进行1次调校、测试，甲烷传感器是否按规定进行调校并测试</w:t>
      </w:r>
      <w:proofErr w:type="gramStart"/>
      <w:r w:rsidRPr="00C12717">
        <w:rPr>
          <w:rFonts w:ascii="仿宋" w:eastAsia="仿宋" w:hAnsi="仿宋" w:hint="eastAsia"/>
          <w:color w:val="000000" w:themeColor="text1"/>
          <w:sz w:val="32"/>
          <w:szCs w:val="32"/>
        </w:rPr>
        <w:t>甲烷电闭锁</w:t>
      </w:r>
      <w:proofErr w:type="gramEnd"/>
      <w:r w:rsidRPr="00C12717">
        <w:rPr>
          <w:rFonts w:ascii="仿宋" w:eastAsia="仿宋" w:hAnsi="仿宋" w:hint="eastAsia"/>
          <w:color w:val="000000" w:themeColor="text1"/>
          <w:sz w:val="32"/>
          <w:szCs w:val="32"/>
        </w:rPr>
        <w:t>功能。矿长和总工程师或技术负责人是否每天审阅安全</w:t>
      </w:r>
      <w:proofErr w:type="gramStart"/>
      <w:r w:rsidRPr="00C12717">
        <w:rPr>
          <w:rFonts w:ascii="仿宋" w:eastAsia="仿宋" w:hAnsi="仿宋" w:hint="eastAsia"/>
          <w:color w:val="000000" w:themeColor="text1"/>
          <w:sz w:val="32"/>
          <w:szCs w:val="32"/>
        </w:rPr>
        <w:t>监控日</w:t>
      </w:r>
      <w:proofErr w:type="gramEnd"/>
      <w:r w:rsidRPr="00C12717">
        <w:rPr>
          <w:rFonts w:ascii="仿宋" w:eastAsia="仿宋" w:hAnsi="仿宋" w:hint="eastAsia"/>
          <w:color w:val="000000" w:themeColor="text1"/>
          <w:sz w:val="32"/>
          <w:szCs w:val="32"/>
        </w:rPr>
        <w:t>报表，是否分析变化趋势。系统发出报警、断电、馈电异常等信息时,是否采取措施进行及时处理,并立即向值班矿领导汇报，处理过程和结果是否进行记录。安全监控系统显示和控制终端是否设置在矿调度室,是否能全面反映监控信息。</w:t>
      </w:r>
    </w:p>
    <w:p w:rsidR="00BE4BB9" w:rsidRPr="00C12717" w:rsidRDefault="00101958">
      <w:pPr>
        <w:spacing w:line="560" w:lineRule="exact"/>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（五）矿井防灭火措施落实情况。</w:t>
      </w:r>
      <w:r w:rsidRPr="00C12717">
        <w:rPr>
          <w:rFonts w:ascii="仿宋" w:eastAsia="仿宋" w:hAnsi="仿宋" w:hint="eastAsia"/>
          <w:color w:val="000000" w:themeColor="text1"/>
          <w:sz w:val="32"/>
          <w:szCs w:val="32"/>
        </w:rPr>
        <w:t>开采容易自燃或自燃煤层的矿井，是否编制防灭火专项设计并落实，是否建立自然发火监测和防灭火系统。是否对采空区、巷道</w:t>
      </w:r>
      <w:proofErr w:type="gramStart"/>
      <w:r w:rsidRPr="00C12717">
        <w:rPr>
          <w:rFonts w:ascii="仿宋" w:eastAsia="仿宋" w:hAnsi="仿宋" w:hint="eastAsia"/>
          <w:color w:val="000000" w:themeColor="text1"/>
          <w:sz w:val="32"/>
          <w:szCs w:val="32"/>
        </w:rPr>
        <w:t>高冒区</w:t>
      </w:r>
      <w:proofErr w:type="gramEnd"/>
      <w:r w:rsidRPr="00C12717">
        <w:rPr>
          <w:rFonts w:ascii="仿宋" w:eastAsia="仿宋" w:hAnsi="仿宋" w:hint="eastAsia"/>
          <w:color w:val="000000" w:themeColor="text1"/>
          <w:sz w:val="32"/>
          <w:szCs w:val="32"/>
        </w:rPr>
        <w:t>和煤柱破坏区采取预防自然发火措施。是否按规定对井下火区进行管理。动火作业是否制定安全技术措施并按规定审批。是否按规定设置</w:t>
      </w:r>
      <w:proofErr w:type="gramStart"/>
      <w:r w:rsidRPr="00C12717">
        <w:rPr>
          <w:rFonts w:ascii="仿宋" w:eastAsia="仿宋" w:hAnsi="仿宋" w:hint="eastAsia"/>
          <w:color w:val="000000" w:themeColor="text1"/>
          <w:sz w:val="32"/>
          <w:szCs w:val="32"/>
        </w:rPr>
        <w:t>矿井消防</w:t>
      </w:r>
      <w:proofErr w:type="gramEnd"/>
      <w:r w:rsidRPr="00C12717">
        <w:rPr>
          <w:rFonts w:ascii="仿宋" w:eastAsia="仿宋" w:hAnsi="仿宋" w:hint="eastAsia"/>
          <w:color w:val="000000" w:themeColor="text1"/>
          <w:sz w:val="32"/>
          <w:szCs w:val="32"/>
        </w:rPr>
        <w:t>供水系统。</w:t>
      </w:r>
    </w:p>
    <w:p w:rsidR="00BE4BB9" w:rsidRPr="00C12717" w:rsidRDefault="00101958">
      <w:pPr>
        <w:spacing w:line="560" w:lineRule="exact"/>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（六）煤尘防治措施落实情况。</w:t>
      </w:r>
      <w:r w:rsidRPr="00C12717">
        <w:rPr>
          <w:rFonts w:ascii="仿宋" w:eastAsia="仿宋" w:hAnsi="仿宋" w:hint="eastAsia"/>
          <w:color w:val="000000" w:themeColor="text1"/>
          <w:sz w:val="32"/>
          <w:szCs w:val="32"/>
        </w:rPr>
        <w:t>矿井是否建立防尘供水系统。是否按规定采取隔绝煤尘爆炸的措施。是否制定清除巷道浮尘、清扫冲洗积尘、撒布岩粉、定期对主要大巷刷浆、运煤系统喷雾降尘等综合防尘措施，并严格落实。采掘工作面是否按规定采取湿式钻眼、冲洗巷帮、水炮泥、爆破喷雾、装煤岩洒水和净化风流水幕等综合防尘措施。采煤工作面是否按规定采取煤层注水防尘措施。采煤机、掘进机是否采用内、外喷雾</w:t>
      </w:r>
      <w:r w:rsidRPr="00C12717">
        <w:rPr>
          <w:rFonts w:ascii="仿宋" w:eastAsia="仿宋" w:hAnsi="仿宋" w:hint="eastAsia"/>
          <w:color w:val="000000" w:themeColor="text1"/>
          <w:sz w:val="32"/>
          <w:szCs w:val="32"/>
        </w:rPr>
        <w:lastRenderedPageBreak/>
        <w:t>措施。</w:t>
      </w:r>
    </w:p>
    <w:p w:rsidR="00BE4BB9" w:rsidRPr="00C12717" w:rsidRDefault="00101958">
      <w:pPr>
        <w:spacing w:line="560" w:lineRule="exact"/>
        <w:ind w:firstLineChars="200" w:firstLine="640"/>
        <w:rPr>
          <w:rFonts w:ascii="黑体" w:eastAsia="黑体" w:hAnsi="黑体"/>
          <w:color w:val="000000" w:themeColor="text1"/>
          <w:sz w:val="32"/>
          <w:szCs w:val="32"/>
        </w:rPr>
      </w:pPr>
      <w:r w:rsidRPr="00C12717">
        <w:rPr>
          <w:rFonts w:ascii="黑体" w:eastAsia="黑体" w:hAnsi="黑体" w:hint="eastAsia"/>
          <w:color w:val="000000" w:themeColor="text1"/>
          <w:sz w:val="32"/>
          <w:szCs w:val="32"/>
        </w:rPr>
        <w:t>六、工作要求</w:t>
      </w:r>
    </w:p>
    <w:p w:rsidR="00BE4BB9" w:rsidRPr="00C12717" w:rsidRDefault="00101958">
      <w:pPr>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（一）突出重点，积极配合。</w:t>
      </w:r>
      <w:r w:rsidRPr="00C12717">
        <w:rPr>
          <w:rFonts w:ascii="仿宋" w:eastAsia="仿宋" w:hAnsi="仿宋" w:hint="eastAsia"/>
          <w:color w:val="000000" w:themeColor="text1"/>
          <w:sz w:val="32"/>
          <w:szCs w:val="32"/>
        </w:rPr>
        <w:t>对高瓦斯矿井、瓦斯超限频繁和近年来发生过瓦斯事故的低瓦斯矿井首先开展专项监察，对“两节、两会”期间停产停工的煤矿，在其复产复工后要及时安排开展专项监察。各级应急管理部门要积极配合，结合复产复工煤矿验收等工作，共同开展好此次专项监察。</w:t>
      </w:r>
    </w:p>
    <w:p w:rsidR="00BE4BB9" w:rsidRPr="00C12717" w:rsidRDefault="00101958">
      <w:pPr>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（二）统筹兼顾，协调推进。</w:t>
      </w:r>
      <w:r w:rsidRPr="00C12717">
        <w:rPr>
          <w:rFonts w:ascii="仿宋" w:eastAsia="仿宋" w:hAnsi="仿宋" w:cs="仿宋" w:hint="eastAsia"/>
          <w:color w:val="000000" w:themeColor="text1"/>
          <w:sz w:val="32"/>
          <w:szCs w:val="32"/>
        </w:rPr>
        <w:t>各级</w:t>
      </w:r>
      <w:r w:rsidRPr="00C12717">
        <w:rPr>
          <w:rFonts w:ascii="仿宋" w:eastAsia="仿宋" w:hAnsi="仿宋" w:hint="eastAsia"/>
          <w:color w:val="000000" w:themeColor="text1"/>
          <w:sz w:val="32"/>
          <w:szCs w:val="32"/>
        </w:rPr>
        <w:t>应急管理部门要将专项监察纳入执法计划，并与煤矿集中整治、煤矿重大灾害防治、落后产能淘汰退出、企业主体责任监管监察以及“学法规、抓落实、强管理”活动等工作有机结合，用好明查暗访、预防性监管监察、执法公示、公开裁定等手段，确保专项监察取得实效。可结合自身专业人员配备情况，向当地政府争取资金支持，用于选聘行业专家参与专项监察。</w:t>
      </w:r>
    </w:p>
    <w:p w:rsidR="00BE4BB9" w:rsidRPr="00C12717" w:rsidRDefault="00101958">
      <w:pPr>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（三）加强分析</w:t>
      </w:r>
      <w:proofErr w:type="gramStart"/>
      <w:r w:rsidRPr="00C12717">
        <w:rPr>
          <w:rFonts w:ascii="楷体" w:eastAsia="楷体" w:hAnsi="楷体" w:hint="eastAsia"/>
          <w:color w:val="000000" w:themeColor="text1"/>
          <w:sz w:val="32"/>
          <w:szCs w:val="32"/>
        </w:rPr>
        <w:t>研</w:t>
      </w:r>
      <w:proofErr w:type="gramEnd"/>
      <w:r w:rsidRPr="00C12717">
        <w:rPr>
          <w:rFonts w:ascii="楷体" w:eastAsia="楷体" w:hAnsi="楷体" w:hint="eastAsia"/>
          <w:color w:val="000000" w:themeColor="text1"/>
          <w:sz w:val="32"/>
          <w:szCs w:val="32"/>
        </w:rPr>
        <w:t>判，强化检查执法。</w:t>
      </w:r>
      <w:r w:rsidRPr="00C12717">
        <w:rPr>
          <w:rFonts w:ascii="仿宋" w:eastAsia="仿宋" w:hAnsi="仿宋" w:hint="eastAsia"/>
          <w:color w:val="000000" w:themeColor="text1"/>
          <w:sz w:val="32"/>
          <w:szCs w:val="32"/>
        </w:rPr>
        <w:t>开展专项监察前，要提前分析</w:t>
      </w:r>
      <w:proofErr w:type="gramStart"/>
      <w:r w:rsidRPr="00C12717">
        <w:rPr>
          <w:rFonts w:ascii="仿宋" w:eastAsia="仿宋" w:hAnsi="仿宋" w:hint="eastAsia"/>
          <w:color w:val="000000" w:themeColor="text1"/>
          <w:sz w:val="32"/>
          <w:szCs w:val="32"/>
        </w:rPr>
        <w:t>研</w:t>
      </w:r>
      <w:proofErr w:type="gramEnd"/>
      <w:r w:rsidRPr="00C12717">
        <w:rPr>
          <w:rFonts w:ascii="仿宋" w:eastAsia="仿宋" w:hAnsi="仿宋" w:hint="eastAsia"/>
          <w:color w:val="000000" w:themeColor="text1"/>
          <w:sz w:val="32"/>
          <w:szCs w:val="32"/>
        </w:rPr>
        <w:t>判煤矿灾害特点和重大安全风险，结合煤矿实际，围绕专项监察内容有针对性地制定检查方案，明确检查事项，实施精准检查。对发现的隐患，要责令煤矿立即排除；重大隐患排除前或排除过程中无法保证安全的，要责令煤矿从危险区域内撤出作业人员、停止作业，由煤矿企业所在地应急管理部门按属地监管原则挂牌督办；对依法应当给予行政处罚的行为要依法处罚，特别是对存在重大隐患或严重违法违规行为继续</w:t>
      </w:r>
      <w:r w:rsidRPr="00C12717">
        <w:rPr>
          <w:rFonts w:ascii="仿宋" w:eastAsia="仿宋" w:hAnsi="仿宋" w:hint="eastAsia"/>
          <w:color w:val="000000" w:themeColor="text1"/>
          <w:sz w:val="32"/>
          <w:szCs w:val="32"/>
        </w:rPr>
        <w:lastRenderedPageBreak/>
        <w:t>组织生产的，要依法责令停产整顿、严肃查处并曝光公示，同时要按照《关于煤矿企业安全生产主体责任监管监察的指导意见》的要求，倒查“关键少数”责任，要用好约谈、“黑名单”、联合惩戒等手段，依法严肃追责问责。</w:t>
      </w:r>
    </w:p>
    <w:p w:rsidR="00BE4BB9" w:rsidRPr="00C12717" w:rsidRDefault="00101958">
      <w:pPr>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（四）认真总结，用好专项监察成果。</w:t>
      </w:r>
      <w:r w:rsidRPr="00C12717">
        <w:rPr>
          <w:rFonts w:ascii="仿宋" w:eastAsia="仿宋" w:hAnsi="仿宋" w:hint="eastAsia"/>
          <w:color w:val="000000" w:themeColor="text1"/>
          <w:sz w:val="32"/>
          <w:szCs w:val="32"/>
        </w:rPr>
        <w:t>在专项监察期间发现的典型违法违规行为、重大事故隐患以及共性问题，要向地方党委和政府进行报告、通报，并提出意见建议。并及时向国家煤矿安监局报送纳入“黑名单”、实施联合惩戒以及曝光典型案例情况。相关产煤市、县（市、区）应急管理部门按照属地监管原则，对专项监察发现的问题和隐患，要跟踪督办，督促整改销号。</w:t>
      </w:r>
    </w:p>
    <w:p w:rsidR="00BE4BB9" w:rsidRPr="00C12717" w:rsidRDefault="00101958">
      <w:pPr>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（五）严格工作纪律，确保取得实效。</w:t>
      </w:r>
      <w:r w:rsidRPr="00C12717">
        <w:rPr>
          <w:rFonts w:ascii="仿宋" w:eastAsia="仿宋" w:hAnsi="仿宋" w:hint="eastAsia"/>
          <w:color w:val="000000" w:themeColor="text1"/>
          <w:sz w:val="32"/>
          <w:szCs w:val="32"/>
        </w:rPr>
        <w:t>参加“一通三防”专项监察的人员要严格遵守中央八项规定及实施细则精神，轻车简从，廉洁自律。要发扬“严、细、实”的工作作风，</w:t>
      </w:r>
      <w:proofErr w:type="gramStart"/>
      <w:r w:rsidRPr="00C12717">
        <w:rPr>
          <w:rFonts w:ascii="仿宋" w:eastAsia="仿宋" w:hAnsi="仿宋" w:hint="eastAsia"/>
          <w:color w:val="000000" w:themeColor="text1"/>
          <w:sz w:val="32"/>
          <w:szCs w:val="32"/>
        </w:rPr>
        <w:t>不</w:t>
      </w:r>
      <w:proofErr w:type="gramEnd"/>
      <w:r w:rsidRPr="00C12717">
        <w:rPr>
          <w:rFonts w:ascii="仿宋" w:eastAsia="仿宋" w:hAnsi="仿宋" w:hint="eastAsia"/>
          <w:color w:val="000000" w:themeColor="text1"/>
          <w:sz w:val="32"/>
          <w:szCs w:val="32"/>
        </w:rPr>
        <w:t>走过场，不搞形式主义，确保工作取得实效。</w:t>
      </w:r>
    </w:p>
    <w:p w:rsidR="00BE4BB9" w:rsidRPr="00C12717" w:rsidRDefault="00101958">
      <w:pPr>
        <w:ind w:firstLineChars="200" w:firstLine="640"/>
        <w:rPr>
          <w:rFonts w:ascii="仿宋" w:eastAsia="仿宋" w:hAnsi="仿宋"/>
          <w:color w:val="000000" w:themeColor="text1"/>
          <w:sz w:val="32"/>
          <w:szCs w:val="32"/>
        </w:rPr>
      </w:pPr>
      <w:r w:rsidRPr="00C12717">
        <w:rPr>
          <w:rFonts w:ascii="楷体" w:eastAsia="楷体" w:hAnsi="楷体" w:hint="eastAsia"/>
          <w:color w:val="000000" w:themeColor="text1"/>
          <w:sz w:val="32"/>
          <w:szCs w:val="32"/>
        </w:rPr>
        <w:t>（六）及时汇总，加强材料报送。</w:t>
      </w:r>
      <w:r w:rsidRPr="00C12717">
        <w:rPr>
          <w:rFonts w:ascii="仿宋" w:eastAsia="仿宋" w:hAnsi="仿宋" w:hint="eastAsia"/>
          <w:color w:val="000000" w:themeColor="text1"/>
          <w:sz w:val="32"/>
          <w:szCs w:val="32"/>
        </w:rPr>
        <w:t>在专项监察期间,每月5日前由广西煤矿安监局将上月专项监察开展情况，主要包括工作进展，查处的重大隐患和问题明细(表1、2)，查处的典型案例，发现的突出问题和建议，专项监察执法情况统计表等报国家煤矿安监局。专项监察结束后，及时分析发现的主要问题，提出加强煤矿“一通三防”工作和监管监察的措施和建议，形成书面报告，于7月15日前连同电子版一并报送国家煤矿安</w:t>
      </w:r>
      <w:r w:rsidRPr="00C12717">
        <w:rPr>
          <w:rFonts w:ascii="仿宋" w:eastAsia="仿宋" w:hAnsi="仿宋" w:hint="eastAsia"/>
          <w:color w:val="000000" w:themeColor="text1"/>
          <w:sz w:val="32"/>
          <w:szCs w:val="32"/>
        </w:rPr>
        <w:lastRenderedPageBreak/>
        <w:t>监局。</w:t>
      </w:r>
    </w:p>
    <w:p w:rsidR="00BE4BB9" w:rsidRPr="00C12717" w:rsidRDefault="00101958">
      <w:pPr>
        <w:ind w:firstLineChars="200" w:firstLine="640"/>
        <w:rPr>
          <w:rFonts w:ascii="仿宋" w:eastAsia="仿宋" w:hAnsi="仿宋"/>
          <w:color w:val="000000" w:themeColor="text1"/>
          <w:kern w:val="0"/>
          <w:sz w:val="32"/>
          <w:szCs w:val="32"/>
          <w:lang w:val="zh-CN"/>
        </w:rPr>
      </w:pPr>
      <w:r w:rsidRPr="00C12717">
        <w:rPr>
          <w:rFonts w:ascii="仿宋" w:eastAsia="仿宋" w:hAnsi="仿宋" w:hint="eastAsia"/>
          <w:color w:val="000000" w:themeColor="text1"/>
          <w:kern w:val="0"/>
          <w:sz w:val="32"/>
          <w:szCs w:val="32"/>
          <w:lang w:val="zh-CN"/>
        </w:rPr>
        <w:t>联系人及电话：邓奕江，0771-2212568（带传真）；</w:t>
      </w:r>
    </w:p>
    <w:p w:rsidR="00BE4BB9" w:rsidRPr="00C12717" w:rsidRDefault="00101958">
      <w:pPr>
        <w:ind w:firstLineChars="200" w:firstLine="640"/>
        <w:rPr>
          <w:rFonts w:ascii="仿宋" w:eastAsia="仿宋" w:hAnsi="仿宋"/>
          <w:color w:val="000000" w:themeColor="text1"/>
          <w:kern w:val="0"/>
          <w:sz w:val="32"/>
          <w:szCs w:val="32"/>
          <w:lang w:val="zh-CN"/>
        </w:rPr>
      </w:pPr>
      <w:r w:rsidRPr="00C12717">
        <w:rPr>
          <w:rFonts w:ascii="仿宋" w:eastAsia="仿宋" w:hAnsi="仿宋" w:hint="eastAsia"/>
          <w:color w:val="000000" w:themeColor="text1"/>
          <w:kern w:val="0"/>
          <w:sz w:val="32"/>
          <w:szCs w:val="32"/>
          <w:lang w:val="zh-CN"/>
        </w:rPr>
        <w:t>电子邮箱：gxmjjc@163.com</w:t>
      </w:r>
    </w:p>
    <w:p w:rsidR="00BE4BB9" w:rsidRPr="00C12717" w:rsidRDefault="00BE4BB9">
      <w:pPr>
        <w:ind w:firstLineChars="200" w:firstLine="640"/>
        <w:rPr>
          <w:rFonts w:ascii="仿宋" w:eastAsia="仿宋" w:hAnsi="仿宋"/>
          <w:color w:val="000000" w:themeColor="text1"/>
          <w:sz w:val="32"/>
          <w:szCs w:val="32"/>
        </w:rPr>
      </w:pPr>
    </w:p>
    <w:p w:rsidR="00BE4BB9" w:rsidRPr="00C12717" w:rsidRDefault="00BE4BB9">
      <w:pPr>
        <w:rPr>
          <w:rFonts w:ascii="楷体" w:eastAsia="楷体" w:hAnsi="楷体"/>
          <w:color w:val="000000" w:themeColor="text1"/>
          <w:sz w:val="32"/>
          <w:szCs w:val="32"/>
        </w:rPr>
        <w:sectPr w:rsidR="00BE4BB9" w:rsidRPr="00C12717">
          <w:footerReference w:type="default" r:id="rId8"/>
          <w:pgSz w:w="11906" w:h="16838"/>
          <w:pgMar w:top="1440" w:right="1644" w:bottom="1440" w:left="1644" w:header="851" w:footer="992" w:gutter="0"/>
          <w:cols w:space="425"/>
          <w:docGrid w:type="lines" w:linePitch="312"/>
        </w:sectPr>
      </w:pPr>
    </w:p>
    <w:p w:rsidR="00BE4BB9" w:rsidRPr="00C12717" w:rsidRDefault="00101958">
      <w:pPr>
        <w:rPr>
          <w:rFonts w:ascii="黑体" w:eastAsia="黑体" w:hAnsi="黑体"/>
          <w:color w:val="000000" w:themeColor="text1"/>
          <w:sz w:val="32"/>
          <w:szCs w:val="32"/>
        </w:rPr>
      </w:pPr>
      <w:r w:rsidRPr="00C12717">
        <w:rPr>
          <w:rFonts w:ascii="黑体" w:eastAsia="黑体" w:hAnsi="黑体" w:hint="eastAsia"/>
          <w:color w:val="000000" w:themeColor="text1"/>
          <w:sz w:val="32"/>
          <w:szCs w:val="32"/>
        </w:rPr>
        <w:lastRenderedPageBreak/>
        <w:t>表1</w:t>
      </w:r>
    </w:p>
    <w:tbl>
      <w:tblPr>
        <w:tblW w:w="14080" w:type="dxa"/>
        <w:tblLayout w:type="fixed"/>
        <w:tblLook w:val="04A0" w:firstRow="1" w:lastRow="0" w:firstColumn="1" w:lastColumn="0" w:noHBand="0" w:noVBand="1"/>
      </w:tblPr>
      <w:tblGrid>
        <w:gridCol w:w="820"/>
        <w:gridCol w:w="880"/>
        <w:gridCol w:w="840"/>
        <w:gridCol w:w="820"/>
        <w:gridCol w:w="800"/>
        <w:gridCol w:w="840"/>
        <w:gridCol w:w="820"/>
        <w:gridCol w:w="980"/>
        <w:gridCol w:w="980"/>
        <w:gridCol w:w="980"/>
        <w:gridCol w:w="980"/>
        <w:gridCol w:w="980"/>
        <w:gridCol w:w="820"/>
        <w:gridCol w:w="820"/>
        <w:gridCol w:w="880"/>
        <w:gridCol w:w="840"/>
      </w:tblGrid>
      <w:tr w:rsidR="00C12717" w:rsidRPr="00C12717">
        <w:trPr>
          <w:trHeight w:val="1178"/>
        </w:trPr>
        <w:tc>
          <w:tcPr>
            <w:tcW w:w="14080" w:type="dxa"/>
            <w:gridSpan w:val="16"/>
            <w:tcBorders>
              <w:top w:val="nil"/>
              <w:left w:val="nil"/>
              <w:bottom w:val="nil"/>
              <w:right w:val="nil"/>
            </w:tcBorders>
            <w:shd w:val="clear" w:color="auto" w:fill="auto"/>
            <w:vAlign w:val="center"/>
          </w:tcPr>
          <w:p w:rsidR="00BE4BB9" w:rsidRPr="00C12717" w:rsidRDefault="00101958">
            <w:pPr>
              <w:widowControl/>
              <w:jc w:val="center"/>
              <w:rPr>
                <w:rFonts w:ascii="华文中宋" w:eastAsia="华文中宋" w:hAnsi="华文中宋" w:cs="宋体"/>
                <w:color w:val="000000" w:themeColor="text1"/>
                <w:kern w:val="0"/>
                <w:sz w:val="40"/>
                <w:szCs w:val="40"/>
              </w:rPr>
            </w:pPr>
            <w:r w:rsidRPr="00C12717">
              <w:rPr>
                <w:rFonts w:ascii="华文中宋" w:eastAsia="华文中宋" w:hAnsi="华文中宋" w:cs="宋体" w:hint="eastAsia"/>
                <w:color w:val="000000" w:themeColor="text1"/>
                <w:kern w:val="0"/>
                <w:sz w:val="40"/>
                <w:szCs w:val="40"/>
              </w:rPr>
              <w:t>“一通三防”专项监察执法情况统计表</w:t>
            </w:r>
          </w:p>
        </w:tc>
      </w:tr>
      <w:tr w:rsidR="00C12717" w:rsidRPr="00C12717">
        <w:trPr>
          <w:trHeight w:val="540"/>
        </w:trPr>
        <w:tc>
          <w:tcPr>
            <w:tcW w:w="1700" w:type="dxa"/>
            <w:gridSpan w:val="2"/>
            <w:tcBorders>
              <w:top w:val="nil"/>
              <w:left w:val="nil"/>
              <w:bottom w:val="nil"/>
              <w:right w:val="nil"/>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填报单位：</w:t>
            </w:r>
          </w:p>
        </w:tc>
        <w:tc>
          <w:tcPr>
            <w:tcW w:w="840" w:type="dxa"/>
            <w:tcBorders>
              <w:top w:val="nil"/>
              <w:left w:val="nil"/>
              <w:bottom w:val="nil"/>
              <w:right w:val="nil"/>
            </w:tcBorders>
            <w:shd w:val="clear" w:color="auto" w:fill="auto"/>
            <w:vAlign w:val="center"/>
          </w:tcPr>
          <w:p w:rsidR="00BE4BB9" w:rsidRPr="00C12717" w:rsidRDefault="00BE4BB9">
            <w:pPr>
              <w:widowControl/>
              <w:jc w:val="center"/>
              <w:rPr>
                <w:rFonts w:ascii="仿宋_GB2312" w:eastAsia="仿宋_GB2312" w:hAnsi="宋体" w:cs="宋体"/>
                <w:color w:val="000000" w:themeColor="text1"/>
                <w:kern w:val="0"/>
                <w:sz w:val="24"/>
                <w:szCs w:val="24"/>
              </w:rPr>
            </w:pPr>
          </w:p>
        </w:tc>
        <w:tc>
          <w:tcPr>
            <w:tcW w:w="82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80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84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3360" w:type="dxa"/>
            <w:gridSpan w:val="4"/>
            <w:tcBorders>
              <w:top w:val="nil"/>
              <w:left w:val="nil"/>
              <w:bottom w:val="nil"/>
              <w:right w:val="nil"/>
            </w:tcBorders>
            <w:shd w:val="clear" w:color="auto" w:fill="auto"/>
            <w:vAlign w:val="center"/>
          </w:tcPr>
          <w:p w:rsidR="00BE4BB9" w:rsidRPr="00C12717" w:rsidRDefault="00101958">
            <w:pPr>
              <w:widowControl/>
              <w:jc w:val="left"/>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截至日期：  年   月  日</w:t>
            </w:r>
          </w:p>
        </w:tc>
      </w:tr>
      <w:tr w:rsidR="00C12717" w:rsidRPr="00C12717">
        <w:trPr>
          <w:trHeight w:val="923"/>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监察矿井(</w:t>
            </w:r>
            <w:proofErr w:type="gramStart"/>
            <w:r w:rsidRPr="00C12717">
              <w:rPr>
                <w:rFonts w:ascii="仿宋_GB2312" w:eastAsia="仿宋_GB2312" w:hAnsi="宋体" w:cs="宋体" w:hint="eastAsia"/>
                <w:color w:val="000000" w:themeColor="text1"/>
                <w:kern w:val="0"/>
                <w:sz w:val="24"/>
                <w:szCs w:val="24"/>
              </w:rPr>
              <w:t>矿次</w:t>
            </w:r>
            <w:proofErr w:type="gramEnd"/>
            <w:r w:rsidRPr="00C12717">
              <w:rPr>
                <w:rFonts w:ascii="仿宋_GB2312" w:eastAsia="仿宋_GB2312" w:hAnsi="宋体" w:cs="宋体" w:hint="eastAsia"/>
                <w:color w:val="000000" w:themeColor="text1"/>
                <w:kern w:val="0"/>
                <w:sz w:val="24"/>
                <w:szCs w:val="24"/>
              </w:rPr>
              <w:t>)</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一般隐患(条)</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重大隐患(条)</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下达执法文书(份)</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行政处罚(次)</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罚款(万元)</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停产整顿(</w:t>
            </w:r>
            <w:proofErr w:type="gramStart"/>
            <w:r w:rsidRPr="00C12717">
              <w:rPr>
                <w:rFonts w:ascii="仿宋_GB2312" w:eastAsia="仿宋_GB2312" w:hAnsi="宋体" w:cs="宋体" w:hint="eastAsia"/>
                <w:color w:val="000000" w:themeColor="text1"/>
                <w:kern w:val="0"/>
                <w:sz w:val="24"/>
                <w:szCs w:val="24"/>
              </w:rPr>
              <w:t>矿次</w:t>
            </w:r>
            <w:proofErr w:type="gramEnd"/>
            <w:r w:rsidRPr="00C12717">
              <w:rPr>
                <w:rFonts w:ascii="仿宋_GB2312" w:eastAsia="仿宋_GB2312" w:hAnsi="宋体" w:cs="宋体" w:hint="eastAsia"/>
                <w:color w:val="000000" w:themeColor="text1"/>
                <w:kern w:val="0"/>
                <w:sz w:val="24"/>
                <w:szCs w:val="24"/>
              </w:rPr>
              <w:t>)</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停止作业采掘工作面(</w:t>
            </w:r>
            <w:proofErr w:type="gramStart"/>
            <w:r w:rsidRPr="00C12717">
              <w:rPr>
                <w:rFonts w:ascii="仿宋_GB2312" w:eastAsia="仿宋_GB2312" w:hAnsi="宋体" w:cs="宋体" w:hint="eastAsia"/>
                <w:color w:val="000000" w:themeColor="text1"/>
                <w:kern w:val="0"/>
                <w:sz w:val="24"/>
                <w:szCs w:val="24"/>
              </w:rPr>
              <w:t>个</w:t>
            </w:r>
            <w:proofErr w:type="gramEnd"/>
            <w:r w:rsidRPr="00C12717">
              <w:rPr>
                <w:rFonts w:ascii="仿宋_GB2312" w:eastAsia="仿宋_GB2312" w:hAnsi="宋体" w:cs="宋体" w:hint="eastAsia"/>
                <w:color w:val="000000" w:themeColor="text1"/>
                <w:kern w:val="0"/>
                <w:sz w:val="24"/>
                <w:szCs w:val="24"/>
              </w:rPr>
              <w:t>)</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停止使用相关设施、设备(台、套)</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从危险区域撤出作业人员(次)</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暂扣安全生产许可证(</w:t>
            </w:r>
            <w:proofErr w:type="gramStart"/>
            <w:r w:rsidRPr="00C12717">
              <w:rPr>
                <w:rFonts w:ascii="仿宋_GB2312" w:eastAsia="仿宋_GB2312" w:hAnsi="宋体" w:cs="宋体" w:hint="eastAsia"/>
                <w:color w:val="000000" w:themeColor="text1"/>
                <w:kern w:val="0"/>
                <w:sz w:val="24"/>
                <w:szCs w:val="24"/>
              </w:rPr>
              <w:t>个</w:t>
            </w:r>
            <w:proofErr w:type="gramEnd"/>
            <w:r w:rsidRPr="00C12717">
              <w:rPr>
                <w:rFonts w:ascii="仿宋_GB2312" w:eastAsia="仿宋_GB2312" w:hAnsi="宋体" w:cs="宋体" w:hint="eastAsia"/>
                <w:color w:val="000000" w:themeColor="text1"/>
                <w:kern w:val="0"/>
                <w:sz w:val="24"/>
                <w:szCs w:val="24"/>
              </w:rPr>
              <w:t>)</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吊销安全生产许可证(</w:t>
            </w:r>
            <w:proofErr w:type="gramStart"/>
            <w:r w:rsidRPr="00C12717">
              <w:rPr>
                <w:rFonts w:ascii="仿宋_GB2312" w:eastAsia="仿宋_GB2312" w:hAnsi="宋体" w:cs="宋体" w:hint="eastAsia"/>
                <w:color w:val="000000" w:themeColor="text1"/>
                <w:kern w:val="0"/>
                <w:sz w:val="24"/>
                <w:szCs w:val="24"/>
              </w:rPr>
              <w:t>个</w:t>
            </w:r>
            <w:proofErr w:type="gramEnd"/>
            <w:r w:rsidRPr="00C12717">
              <w:rPr>
                <w:rFonts w:ascii="仿宋_GB2312" w:eastAsia="仿宋_GB2312" w:hAnsi="宋体" w:cs="宋体" w:hint="eastAsia"/>
                <w:color w:val="000000" w:themeColor="text1"/>
                <w:kern w:val="0"/>
                <w:sz w:val="24"/>
                <w:szCs w:val="24"/>
              </w:rPr>
              <w:t>)</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实施联合惩戒(</w:t>
            </w:r>
            <w:proofErr w:type="gramStart"/>
            <w:r w:rsidRPr="00C12717">
              <w:rPr>
                <w:rFonts w:ascii="仿宋_GB2312" w:eastAsia="仿宋_GB2312" w:hAnsi="宋体" w:cs="宋体" w:hint="eastAsia"/>
                <w:color w:val="000000" w:themeColor="text1"/>
                <w:kern w:val="0"/>
                <w:sz w:val="24"/>
                <w:szCs w:val="24"/>
              </w:rPr>
              <w:t>矿次</w:t>
            </w:r>
            <w:proofErr w:type="gramEnd"/>
            <w:r w:rsidRPr="00C12717">
              <w:rPr>
                <w:rFonts w:ascii="仿宋_GB2312" w:eastAsia="仿宋_GB2312" w:hAnsi="宋体" w:cs="宋体" w:hint="eastAsia"/>
                <w:color w:val="000000" w:themeColor="text1"/>
                <w:kern w:val="0"/>
                <w:sz w:val="24"/>
                <w:szCs w:val="24"/>
              </w:rPr>
              <w:t>)</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纳入“黑名单”(</w:t>
            </w:r>
            <w:proofErr w:type="gramStart"/>
            <w:r w:rsidRPr="00C12717">
              <w:rPr>
                <w:rFonts w:ascii="仿宋_GB2312" w:eastAsia="仿宋_GB2312" w:hAnsi="宋体" w:cs="宋体" w:hint="eastAsia"/>
                <w:color w:val="000000" w:themeColor="text1"/>
                <w:kern w:val="0"/>
                <w:sz w:val="24"/>
                <w:szCs w:val="24"/>
              </w:rPr>
              <w:t>矿次</w:t>
            </w:r>
            <w:proofErr w:type="gramEnd"/>
            <w:r w:rsidRPr="00C12717">
              <w:rPr>
                <w:rFonts w:ascii="仿宋_GB2312" w:eastAsia="仿宋_GB2312" w:hAnsi="宋体" w:cs="宋体" w:hint="eastAsia"/>
                <w:color w:val="000000" w:themeColor="text1"/>
                <w:kern w:val="0"/>
                <w:sz w:val="24"/>
                <w:szCs w:val="24"/>
              </w:rPr>
              <w:t>)</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提请关闭矿井数(处)</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曝光(次)</w:t>
            </w:r>
          </w:p>
        </w:tc>
      </w:tr>
      <w:tr w:rsidR="00C12717" w:rsidRPr="00C12717">
        <w:trPr>
          <w:trHeight w:val="1223"/>
        </w:trPr>
        <w:tc>
          <w:tcPr>
            <w:tcW w:w="82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800" w:type="dxa"/>
            <w:vMerge/>
            <w:tcBorders>
              <w:top w:val="single" w:sz="4" w:space="0" w:color="auto"/>
              <w:left w:val="single" w:sz="4" w:space="0" w:color="auto"/>
              <w:bottom w:val="single" w:sz="4" w:space="0" w:color="000000"/>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840" w:type="dxa"/>
            <w:vMerge/>
            <w:tcBorders>
              <w:top w:val="single" w:sz="4" w:space="0" w:color="auto"/>
              <w:left w:val="single" w:sz="4" w:space="0" w:color="auto"/>
              <w:bottom w:val="single" w:sz="4" w:space="0" w:color="000000"/>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r>
      <w:tr w:rsidR="00C12717" w:rsidRPr="00C12717">
        <w:trPr>
          <w:trHeight w:val="1178"/>
        </w:trPr>
        <w:tc>
          <w:tcPr>
            <w:tcW w:w="820" w:type="dxa"/>
            <w:tcBorders>
              <w:top w:val="nil"/>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82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80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82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82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82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88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84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r>
      <w:tr w:rsidR="00C12717" w:rsidRPr="00C12717">
        <w:trPr>
          <w:trHeight w:val="270"/>
        </w:trPr>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宋体" w:eastAsia="宋体" w:hAnsi="宋体" w:cs="宋体"/>
                <w:color w:val="000000" w:themeColor="text1"/>
                <w:kern w:val="0"/>
                <w:sz w:val="22"/>
              </w:rPr>
            </w:pPr>
          </w:p>
        </w:tc>
        <w:tc>
          <w:tcPr>
            <w:tcW w:w="8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0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r>
      <w:tr w:rsidR="00C12717" w:rsidRPr="00C12717">
        <w:trPr>
          <w:trHeight w:val="285"/>
        </w:trPr>
        <w:tc>
          <w:tcPr>
            <w:tcW w:w="1700" w:type="dxa"/>
            <w:gridSpan w:val="2"/>
            <w:tcBorders>
              <w:top w:val="nil"/>
              <w:left w:val="nil"/>
              <w:bottom w:val="nil"/>
              <w:right w:val="nil"/>
            </w:tcBorders>
            <w:shd w:val="clear" w:color="auto" w:fill="auto"/>
            <w:vAlign w:val="center"/>
          </w:tcPr>
          <w:p w:rsidR="00BE4BB9" w:rsidRPr="00C12717" w:rsidRDefault="00101958">
            <w:pPr>
              <w:widowControl/>
              <w:jc w:val="left"/>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填报人：</w:t>
            </w:r>
          </w:p>
        </w:tc>
        <w:tc>
          <w:tcPr>
            <w:tcW w:w="840" w:type="dxa"/>
            <w:tcBorders>
              <w:top w:val="nil"/>
              <w:left w:val="nil"/>
              <w:bottom w:val="nil"/>
              <w:right w:val="nil"/>
            </w:tcBorders>
            <w:shd w:val="clear" w:color="auto" w:fill="auto"/>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0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2780" w:type="dxa"/>
            <w:gridSpan w:val="3"/>
            <w:tcBorders>
              <w:top w:val="nil"/>
              <w:left w:val="nil"/>
              <w:bottom w:val="nil"/>
              <w:right w:val="nil"/>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联系电话：</w:t>
            </w:r>
          </w:p>
        </w:tc>
        <w:tc>
          <w:tcPr>
            <w:tcW w:w="820" w:type="dxa"/>
            <w:tcBorders>
              <w:top w:val="nil"/>
              <w:left w:val="nil"/>
              <w:bottom w:val="nil"/>
              <w:right w:val="nil"/>
            </w:tcBorders>
            <w:shd w:val="clear" w:color="auto" w:fill="auto"/>
            <w:vAlign w:val="center"/>
          </w:tcPr>
          <w:p w:rsidR="00BE4BB9" w:rsidRPr="00C12717" w:rsidRDefault="00BE4BB9">
            <w:pPr>
              <w:widowControl/>
              <w:jc w:val="center"/>
              <w:rPr>
                <w:rFonts w:ascii="仿宋_GB2312" w:eastAsia="仿宋_GB2312" w:hAnsi="宋体" w:cs="宋体"/>
                <w:color w:val="000000" w:themeColor="text1"/>
                <w:kern w:val="0"/>
                <w:sz w:val="24"/>
                <w:szCs w:val="24"/>
              </w:rPr>
            </w:pPr>
          </w:p>
        </w:tc>
        <w:tc>
          <w:tcPr>
            <w:tcW w:w="8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r>
      <w:tr w:rsidR="00C12717" w:rsidRPr="00C12717">
        <w:trPr>
          <w:trHeight w:val="270"/>
        </w:trPr>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0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r>
      <w:tr w:rsidR="00C12717" w:rsidRPr="00C12717">
        <w:trPr>
          <w:trHeight w:val="270"/>
        </w:trPr>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hAnsi="Times New Roman" w:cs="Times New Roman"/>
                <w:color w:val="000000" w:themeColor="text1"/>
                <w:kern w:val="0"/>
                <w:sz w:val="20"/>
                <w:szCs w:val="20"/>
              </w:rPr>
            </w:pPr>
          </w:p>
          <w:p w:rsidR="00BE4BB9" w:rsidRPr="00C12717" w:rsidRDefault="00BE4BB9">
            <w:pPr>
              <w:widowControl/>
              <w:jc w:val="left"/>
              <w:rPr>
                <w:rFonts w:ascii="Times New Roman" w:hAnsi="Times New Roman" w:cs="Times New Roman"/>
                <w:color w:val="000000" w:themeColor="text1"/>
                <w:kern w:val="0"/>
                <w:sz w:val="20"/>
                <w:szCs w:val="20"/>
              </w:rPr>
            </w:pPr>
          </w:p>
          <w:p w:rsidR="00BE4BB9" w:rsidRPr="00C12717" w:rsidRDefault="00BE4BB9">
            <w:pPr>
              <w:widowControl/>
              <w:jc w:val="left"/>
              <w:rPr>
                <w:rFonts w:ascii="Times New Roman" w:hAnsi="Times New Roman" w:cs="Times New Roman"/>
                <w:color w:val="000000" w:themeColor="text1"/>
                <w:kern w:val="0"/>
                <w:sz w:val="20"/>
                <w:szCs w:val="20"/>
              </w:rPr>
            </w:pPr>
          </w:p>
          <w:p w:rsidR="00BE4BB9" w:rsidRPr="00C12717" w:rsidRDefault="00BE4BB9">
            <w:pPr>
              <w:widowControl/>
              <w:jc w:val="left"/>
              <w:rPr>
                <w:rFonts w:ascii="Times New Roman" w:hAnsi="Times New Roman" w:cs="Times New Roman"/>
                <w:color w:val="000000" w:themeColor="text1"/>
                <w:kern w:val="0"/>
                <w:sz w:val="20"/>
                <w:szCs w:val="20"/>
              </w:rPr>
            </w:pPr>
          </w:p>
          <w:p w:rsidR="00BE4BB9" w:rsidRPr="00C12717" w:rsidRDefault="00BE4BB9">
            <w:pPr>
              <w:widowControl/>
              <w:jc w:val="left"/>
              <w:rPr>
                <w:rFonts w:ascii="Times New Roman" w:hAnsi="Times New Roman" w:cs="Times New Roman"/>
                <w:color w:val="000000" w:themeColor="text1"/>
                <w:kern w:val="0"/>
                <w:sz w:val="20"/>
                <w:szCs w:val="20"/>
              </w:rPr>
            </w:pPr>
          </w:p>
        </w:tc>
        <w:tc>
          <w:tcPr>
            <w:tcW w:w="8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0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2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8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r>
    </w:tbl>
    <w:p w:rsidR="00BE4BB9" w:rsidRPr="00C12717" w:rsidRDefault="00101958">
      <w:pPr>
        <w:spacing w:line="320" w:lineRule="exact"/>
        <w:jc w:val="left"/>
        <w:rPr>
          <w:rFonts w:ascii="仿宋_GB2312" w:eastAsia="仿宋_GB2312" w:hAnsi="仿宋_GB2312" w:cs="仿宋_GB2312"/>
          <w:bCs/>
          <w:color w:val="000000" w:themeColor="text1"/>
          <w:szCs w:val="36"/>
        </w:rPr>
      </w:pPr>
      <w:r w:rsidRPr="00C12717">
        <w:rPr>
          <w:rFonts w:ascii="黑体" w:eastAsia="黑体" w:hAnsi="黑体" w:hint="eastAsia"/>
          <w:color w:val="000000" w:themeColor="text1"/>
          <w:sz w:val="32"/>
          <w:szCs w:val="32"/>
        </w:rPr>
        <w:lastRenderedPageBreak/>
        <w:t>表2</w:t>
      </w:r>
      <w:r w:rsidRPr="00C12717">
        <w:rPr>
          <w:rFonts w:ascii="黑体" w:eastAsia="黑体" w:hAnsi="黑体"/>
          <w:color w:val="000000" w:themeColor="text1"/>
          <w:sz w:val="32"/>
          <w:szCs w:val="32"/>
        </w:rPr>
        <w:tab/>
      </w:r>
    </w:p>
    <w:tbl>
      <w:tblPr>
        <w:tblW w:w="14360" w:type="dxa"/>
        <w:tblLayout w:type="fixed"/>
        <w:tblLook w:val="04A0" w:firstRow="1" w:lastRow="0" w:firstColumn="1" w:lastColumn="0" w:noHBand="0" w:noVBand="1"/>
      </w:tblPr>
      <w:tblGrid>
        <w:gridCol w:w="940"/>
        <w:gridCol w:w="1440"/>
        <w:gridCol w:w="1060"/>
        <w:gridCol w:w="1300"/>
        <w:gridCol w:w="1060"/>
        <w:gridCol w:w="1060"/>
        <w:gridCol w:w="1060"/>
        <w:gridCol w:w="940"/>
        <w:gridCol w:w="480"/>
        <w:gridCol w:w="940"/>
        <w:gridCol w:w="493"/>
        <w:gridCol w:w="1387"/>
        <w:gridCol w:w="940"/>
        <w:gridCol w:w="1260"/>
      </w:tblGrid>
      <w:tr w:rsidR="00C12717" w:rsidRPr="00C12717">
        <w:trPr>
          <w:trHeight w:val="1118"/>
        </w:trPr>
        <w:tc>
          <w:tcPr>
            <w:tcW w:w="14360" w:type="dxa"/>
            <w:gridSpan w:val="14"/>
            <w:tcBorders>
              <w:top w:val="nil"/>
              <w:left w:val="nil"/>
              <w:bottom w:val="nil"/>
              <w:right w:val="nil"/>
            </w:tcBorders>
            <w:shd w:val="clear" w:color="auto" w:fill="auto"/>
            <w:vAlign w:val="center"/>
          </w:tcPr>
          <w:p w:rsidR="00BE4BB9" w:rsidRPr="00C12717" w:rsidRDefault="00101958">
            <w:pPr>
              <w:widowControl/>
              <w:jc w:val="center"/>
              <w:rPr>
                <w:rFonts w:ascii="华文中宋" w:eastAsia="华文中宋" w:hAnsi="华文中宋" w:cs="宋体"/>
                <w:color w:val="000000" w:themeColor="text1"/>
                <w:kern w:val="0"/>
                <w:sz w:val="40"/>
                <w:szCs w:val="40"/>
              </w:rPr>
            </w:pPr>
            <w:r w:rsidRPr="00C12717">
              <w:rPr>
                <w:rFonts w:ascii="华文中宋" w:eastAsia="华文中宋" w:hAnsi="华文中宋" w:cs="宋体" w:hint="eastAsia"/>
                <w:color w:val="000000" w:themeColor="text1"/>
                <w:kern w:val="0"/>
                <w:sz w:val="40"/>
                <w:szCs w:val="40"/>
              </w:rPr>
              <w:t>重大隐患明细</w:t>
            </w:r>
          </w:p>
        </w:tc>
      </w:tr>
      <w:tr w:rsidR="00C12717" w:rsidRPr="00C12717">
        <w:trPr>
          <w:trHeight w:val="600"/>
        </w:trPr>
        <w:tc>
          <w:tcPr>
            <w:tcW w:w="2380" w:type="dxa"/>
            <w:gridSpan w:val="2"/>
            <w:tcBorders>
              <w:top w:val="nil"/>
              <w:left w:val="nil"/>
              <w:bottom w:val="single" w:sz="4" w:space="0" w:color="auto"/>
              <w:right w:val="nil"/>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填报单位：</w:t>
            </w:r>
          </w:p>
        </w:tc>
        <w:tc>
          <w:tcPr>
            <w:tcW w:w="1060" w:type="dxa"/>
            <w:tcBorders>
              <w:top w:val="nil"/>
              <w:left w:val="nil"/>
              <w:bottom w:val="nil"/>
              <w:right w:val="nil"/>
            </w:tcBorders>
            <w:shd w:val="clear" w:color="auto" w:fill="auto"/>
            <w:vAlign w:val="center"/>
          </w:tcPr>
          <w:p w:rsidR="00BE4BB9" w:rsidRPr="00C12717" w:rsidRDefault="00BE4BB9">
            <w:pPr>
              <w:widowControl/>
              <w:jc w:val="center"/>
              <w:rPr>
                <w:rFonts w:ascii="仿宋_GB2312" w:eastAsia="仿宋_GB2312" w:hAnsi="宋体" w:cs="宋体"/>
                <w:color w:val="000000" w:themeColor="text1"/>
                <w:kern w:val="0"/>
                <w:sz w:val="24"/>
                <w:szCs w:val="24"/>
              </w:rPr>
            </w:pPr>
          </w:p>
        </w:tc>
        <w:tc>
          <w:tcPr>
            <w:tcW w:w="130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94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48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940"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493" w:type="dxa"/>
            <w:tcBorders>
              <w:top w:val="nil"/>
              <w:left w:val="nil"/>
              <w:bottom w:val="nil"/>
              <w:right w:val="nil"/>
            </w:tcBorders>
            <w:shd w:val="clear" w:color="auto" w:fill="auto"/>
            <w:vAlign w:val="center"/>
          </w:tcPr>
          <w:p w:rsidR="00BE4BB9" w:rsidRPr="00C12717" w:rsidRDefault="00BE4BB9">
            <w:pPr>
              <w:widowControl/>
              <w:jc w:val="center"/>
              <w:rPr>
                <w:rFonts w:ascii="Times New Roman" w:eastAsia="Times New Roman" w:hAnsi="Times New Roman" w:cs="Times New Roman"/>
                <w:color w:val="000000" w:themeColor="text1"/>
                <w:kern w:val="0"/>
                <w:sz w:val="20"/>
                <w:szCs w:val="20"/>
              </w:rPr>
            </w:pPr>
          </w:p>
        </w:tc>
        <w:tc>
          <w:tcPr>
            <w:tcW w:w="3587" w:type="dxa"/>
            <w:gridSpan w:val="3"/>
            <w:tcBorders>
              <w:top w:val="nil"/>
              <w:left w:val="nil"/>
              <w:bottom w:val="single" w:sz="4" w:space="0" w:color="auto"/>
              <w:right w:val="nil"/>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截至日期：  年   月  日</w:t>
            </w:r>
          </w:p>
        </w:tc>
      </w:tr>
      <w:tr w:rsidR="00C12717" w:rsidRPr="00C12717">
        <w:trPr>
          <w:trHeight w:val="983"/>
        </w:trPr>
        <w:tc>
          <w:tcPr>
            <w:tcW w:w="940" w:type="dxa"/>
            <w:tcBorders>
              <w:top w:val="nil"/>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序号</w:t>
            </w:r>
          </w:p>
        </w:tc>
        <w:tc>
          <w:tcPr>
            <w:tcW w:w="144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地市</w:t>
            </w:r>
          </w:p>
        </w:tc>
        <w:tc>
          <w:tcPr>
            <w:tcW w:w="2360" w:type="dxa"/>
            <w:gridSpan w:val="2"/>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煤矿名称</w:t>
            </w:r>
          </w:p>
        </w:tc>
        <w:tc>
          <w:tcPr>
            <w:tcW w:w="3180" w:type="dxa"/>
            <w:gridSpan w:val="3"/>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重大隐患内容</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挂牌督办单位</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整改情况（已整改/正在整改）</w:t>
            </w:r>
          </w:p>
        </w:tc>
        <w:tc>
          <w:tcPr>
            <w:tcW w:w="3587" w:type="dxa"/>
            <w:gridSpan w:val="3"/>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采取的主要防范措施（正在整改的填写）</w:t>
            </w:r>
          </w:p>
        </w:tc>
      </w:tr>
      <w:tr w:rsidR="00C12717" w:rsidRPr="00C12717">
        <w:trPr>
          <w:trHeight w:val="600"/>
        </w:trPr>
        <w:tc>
          <w:tcPr>
            <w:tcW w:w="940" w:type="dxa"/>
            <w:tcBorders>
              <w:top w:val="nil"/>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144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3180" w:type="dxa"/>
            <w:gridSpan w:val="3"/>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3587" w:type="dxa"/>
            <w:gridSpan w:val="3"/>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r>
      <w:tr w:rsidR="00C12717" w:rsidRPr="00C12717">
        <w:trPr>
          <w:trHeight w:val="600"/>
        </w:trPr>
        <w:tc>
          <w:tcPr>
            <w:tcW w:w="940" w:type="dxa"/>
            <w:tcBorders>
              <w:top w:val="nil"/>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144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3180" w:type="dxa"/>
            <w:gridSpan w:val="3"/>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3587" w:type="dxa"/>
            <w:gridSpan w:val="3"/>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r>
      <w:tr w:rsidR="00C12717" w:rsidRPr="00C12717">
        <w:trPr>
          <w:trHeight w:val="600"/>
        </w:trPr>
        <w:tc>
          <w:tcPr>
            <w:tcW w:w="940" w:type="dxa"/>
            <w:tcBorders>
              <w:top w:val="nil"/>
              <w:left w:val="single" w:sz="4" w:space="0" w:color="auto"/>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1440" w:type="dxa"/>
            <w:tcBorders>
              <w:top w:val="nil"/>
              <w:left w:val="nil"/>
              <w:bottom w:val="single" w:sz="4" w:space="0" w:color="auto"/>
              <w:right w:val="single" w:sz="4" w:space="0" w:color="auto"/>
            </w:tcBorders>
            <w:shd w:val="clear" w:color="auto" w:fill="auto"/>
            <w:vAlign w:val="center"/>
          </w:tcPr>
          <w:p w:rsidR="00BE4BB9" w:rsidRPr="00C12717" w:rsidRDefault="00101958">
            <w:pPr>
              <w:widowControl/>
              <w:jc w:val="left"/>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2360" w:type="dxa"/>
            <w:gridSpan w:val="2"/>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3180" w:type="dxa"/>
            <w:gridSpan w:val="3"/>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1433" w:type="dxa"/>
            <w:gridSpan w:val="2"/>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c>
          <w:tcPr>
            <w:tcW w:w="3587" w:type="dxa"/>
            <w:gridSpan w:val="3"/>
            <w:tcBorders>
              <w:top w:val="single" w:sz="4" w:space="0" w:color="auto"/>
              <w:left w:val="nil"/>
              <w:bottom w:val="single" w:sz="4" w:space="0" w:color="auto"/>
              <w:right w:val="single" w:sz="4" w:space="0" w:color="auto"/>
            </w:tcBorders>
            <w:shd w:val="clear" w:color="auto" w:fill="auto"/>
            <w:vAlign w:val="center"/>
          </w:tcPr>
          <w:p w:rsidR="00BE4BB9" w:rsidRPr="00C12717" w:rsidRDefault="00101958">
            <w:pPr>
              <w:widowControl/>
              <w:jc w:val="center"/>
              <w:rPr>
                <w:rFonts w:ascii="宋体" w:eastAsia="宋体" w:hAnsi="宋体" w:cs="宋体"/>
                <w:color w:val="000000" w:themeColor="text1"/>
                <w:kern w:val="0"/>
                <w:sz w:val="22"/>
              </w:rPr>
            </w:pPr>
            <w:r w:rsidRPr="00C12717">
              <w:rPr>
                <w:rFonts w:ascii="宋体" w:eastAsia="宋体" w:hAnsi="宋体" w:cs="宋体" w:hint="eastAsia"/>
                <w:color w:val="000000" w:themeColor="text1"/>
                <w:kern w:val="0"/>
                <w:sz w:val="22"/>
              </w:rPr>
              <w:t xml:space="preserve">　</w:t>
            </w:r>
          </w:p>
        </w:tc>
      </w:tr>
      <w:tr w:rsidR="00C12717" w:rsidRPr="00C12717">
        <w:trPr>
          <w:trHeight w:val="270"/>
        </w:trPr>
        <w:tc>
          <w:tcPr>
            <w:tcW w:w="940" w:type="dxa"/>
            <w:tcBorders>
              <w:top w:val="nil"/>
              <w:left w:val="nil"/>
              <w:bottom w:val="nil"/>
              <w:right w:val="nil"/>
            </w:tcBorders>
            <w:shd w:val="clear" w:color="auto" w:fill="auto"/>
            <w:vAlign w:val="center"/>
          </w:tcPr>
          <w:p w:rsidR="00BE4BB9" w:rsidRPr="00C12717" w:rsidRDefault="00BE4BB9">
            <w:pPr>
              <w:widowControl/>
              <w:jc w:val="center"/>
              <w:rPr>
                <w:rFonts w:ascii="宋体" w:eastAsia="宋体" w:hAnsi="宋体" w:cs="宋体"/>
                <w:color w:val="000000" w:themeColor="text1"/>
                <w:kern w:val="0"/>
                <w:sz w:val="22"/>
              </w:rPr>
            </w:pPr>
          </w:p>
        </w:tc>
        <w:tc>
          <w:tcPr>
            <w:tcW w:w="14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30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4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493"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387"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2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r>
      <w:tr w:rsidR="00C12717" w:rsidRPr="00C12717">
        <w:trPr>
          <w:trHeight w:val="285"/>
        </w:trPr>
        <w:tc>
          <w:tcPr>
            <w:tcW w:w="2380" w:type="dxa"/>
            <w:gridSpan w:val="2"/>
            <w:tcBorders>
              <w:top w:val="nil"/>
              <w:left w:val="nil"/>
              <w:bottom w:val="nil"/>
              <w:right w:val="nil"/>
            </w:tcBorders>
            <w:shd w:val="clear" w:color="auto" w:fill="auto"/>
            <w:vAlign w:val="center"/>
          </w:tcPr>
          <w:p w:rsidR="00BE4BB9" w:rsidRPr="00C12717" w:rsidRDefault="00101958">
            <w:pPr>
              <w:widowControl/>
              <w:jc w:val="left"/>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填报人：</w:t>
            </w:r>
          </w:p>
        </w:tc>
        <w:tc>
          <w:tcPr>
            <w:tcW w:w="1060" w:type="dxa"/>
            <w:tcBorders>
              <w:top w:val="nil"/>
              <w:left w:val="nil"/>
              <w:bottom w:val="nil"/>
              <w:right w:val="nil"/>
            </w:tcBorders>
            <w:shd w:val="clear" w:color="auto" w:fill="auto"/>
            <w:vAlign w:val="center"/>
          </w:tcPr>
          <w:p w:rsidR="00BE4BB9" w:rsidRPr="00C12717" w:rsidRDefault="00BE4BB9">
            <w:pPr>
              <w:widowControl/>
              <w:jc w:val="left"/>
              <w:rPr>
                <w:rFonts w:ascii="仿宋_GB2312" w:eastAsia="仿宋_GB2312" w:hAnsi="宋体" w:cs="宋体"/>
                <w:color w:val="000000" w:themeColor="text1"/>
                <w:kern w:val="0"/>
                <w:sz w:val="24"/>
                <w:szCs w:val="24"/>
              </w:rPr>
            </w:pPr>
          </w:p>
        </w:tc>
        <w:tc>
          <w:tcPr>
            <w:tcW w:w="130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4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880" w:type="dxa"/>
            <w:gridSpan w:val="2"/>
            <w:tcBorders>
              <w:top w:val="nil"/>
              <w:left w:val="nil"/>
              <w:bottom w:val="nil"/>
              <w:right w:val="nil"/>
            </w:tcBorders>
            <w:shd w:val="clear" w:color="auto" w:fill="auto"/>
            <w:vAlign w:val="center"/>
          </w:tcPr>
          <w:p w:rsidR="00BE4BB9" w:rsidRPr="00C12717" w:rsidRDefault="00101958">
            <w:pPr>
              <w:widowControl/>
              <w:jc w:val="center"/>
              <w:rPr>
                <w:rFonts w:ascii="仿宋_GB2312" w:eastAsia="仿宋_GB2312" w:hAnsi="宋体" w:cs="宋体"/>
                <w:color w:val="000000" w:themeColor="text1"/>
                <w:kern w:val="0"/>
                <w:sz w:val="24"/>
                <w:szCs w:val="24"/>
              </w:rPr>
            </w:pPr>
            <w:r w:rsidRPr="00C12717">
              <w:rPr>
                <w:rFonts w:ascii="仿宋_GB2312" w:eastAsia="仿宋_GB2312" w:hAnsi="宋体" w:cs="宋体" w:hint="eastAsia"/>
                <w:color w:val="000000" w:themeColor="text1"/>
                <w:kern w:val="0"/>
                <w:sz w:val="24"/>
                <w:szCs w:val="24"/>
              </w:rPr>
              <w:t>联系电话：</w:t>
            </w:r>
          </w:p>
        </w:tc>
        <w:tc>
          <w:tcPr>
            <w:tcW w:w="940" w:type="dxa"/>
            <w:tcBorders>
              <w:top w:val="nil"/>
              <w:left w:val="nil"/>
              <w:bottom w:val="nil"/>
              <w:right w:val="nil"/>
            </w:tcBorders>
            <w:shd w:val="clear" w:color="auto" w:fill="auto"/>
            <w:vAlign w:val="center"/>
          </w:tcPr>
          <w:p w:rsidR="00BE4BB9" w:rsidRPr="00C12717" w:rsidRDefault="00BE4BB9">
            <w:pPr>
              <w:widowControl/>
              <w:jc w:val="center"/>
              <w:rPr>
                <w:rFonts w:ascii="仿宋_GB2312" w:eastAsia="仿宋_GB2312" w:hAnsi="宋体" w:cs="宋体"/>
                <w:color w:val="000000" w:themeColor="text1"/>
                <w:kern w:val="0"/>
                <w:sz w:val="24"/>
                <w:szCs w:val="24"/>
              </w:rPr>
            </w:pPr>
          </w:p>
        </w:tc>
        <w:tc>
          <w:tcPr>
            <w:tcW w:w="12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r>
      <w:tr w:rsidR="00BE4BB9" w:rsidRPr="00C12717">
        <w:trPr>
          <w:trHeight w:val="270"/>
        </w:trPr>
        <w:tc>
          <w:tcPr>
            <w:tcW w:w="9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4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30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0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48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493"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387"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94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c>
          <w:tcPr>
            <w:tcW w:w="1260" w:type="dxa"/>
            <w:tcBorders>
              <w:top w:val="nil"/>
              <w:left w:val="nil"/>
              <w:bottom w:val="nil"/>
              <w:right w:val="nil"/>
            </w:tcBorders>
            <w:shd w:val="clear" w:color="auto" w:fill="auto"/>
            <w:vAlign w:val="center"/>
          </w:tcPr>
          <w:p w:rsidR="00BE4BB9" w:rsidRPr="00C12717" w:rsidRDefault="00BE4BB9">
            <w:pPr>
              <w:widowControl/>
              <w:jc w:val="left"/>
              <w:rPr>
                <w:rFonts w:ascii="Times New Roman" w:eastAsia="Times New Roman" w:hAnsi="Times New Roman" w:cs="Times New Roman"/>
                <w:color w:val="000000" w:themeColor="text1"/>
                <w:kern w:val="0"/>
                <w:sz w:val="20"/>
                <w:szCs w:val="20"/>
              </w:rPr>
            </w:pPr>
          </w:p>
        </w:tc>
      </w:tr>
    </w:tbl>
    <w:p w:rsidR="00BE4BB9" w:rsidRPr="00C12717" w:rsidRDefault="00BE4BB9">
      <w:pPr>
        <w:jc w:val="left"/>
        <w:rPr>
          <w:rFonts w:ascii="楷体_GB2312" w:eastAsia="楷体_GB2312" w:cs="宋体"/>
          <w:color w:val="000000" w:themeColor="text1"/>
          <w:kern w:val="0"/>
          <w:sz w:val="24"/>
        </w:rPr>
      </w:pPr>
    </w:p>
    <w:sectPr w:rsidR="00BE4BB9" w:rsidRPr="00C1271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DE" w:rsidRDefault="004903DE">
      <w:r>
        <w:separator/>
      </w:r>
    </w:p>
  </w:endnote>
  <w:endnote w:type="continuationSeparator" w:id="0">
    <w:p w:rsidR="004903DE" w:rsidRDefault="0049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950896"/>
    </w:sdtPr>
    <w:sdtEndPr/>
    <w:sdtContent>
      <w:p w:rsidR="00BE4BB9" w:rsidRDefault="00101958">
        <w:pPr>
          <w:pStyle w:val="a5"/>
          <w:jc w:val="center"/>
        </w:pPr>
        <w:r>
          <w:fldChar w:fldCharType="begin"/>
        </w:r>
        <w:r>
          <w:instrText>PAGE   \* MERGEFORMAT</w:instrText>
        </w:r>
        <w:r>
          <w:fldChar w:fldCharType="separate"/>
        </w:r>
        <w:r w:rsidR="00C12717" w:rsidRPr="00C12717">
          <w:rPr>
            <w:noProof/>
            <w:lang w:val="zh-CN"/>
          </w:rPr>
          <w:t>10</w:t>
        </w:r>
        <w:r>
          <w:fldChar w:fldCharType="end"/>
        </w:r>
      </w:p>
    </w:sdtContent>
  </w:sdt>
  <w:p w:rsidR="00BE4BB9" w:rsidRDefault="00BE4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DE" w:rsidRDefault="004903DE">
      <w:r>
        <w:separator/>
      </w:r>
    </w:p>
  </w:footnote>
  <w:footnote w:type="continuationSeparator" w:id="0">
    <w:p w:rsidR="004903DE" w:rsidRDefault="0049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48"/>
    <w:rsid w:val="00000156"/>
    <w:rsid w:val="000104BE"/>
    <w:rsid w:val="0003313C"/>
    <w:rsid w:val="00035A9A"/>
    <w:rsid w:val="000650EF"/>
    <w:rsid w:val="0007077C"/>
    <w:rsid w:val="000C0EF8"/>
    <w:rsid w:val="000F293D"/>
    <w:rsid w:val="00101958"/>
    <w:rsid w:val="0018091D"/>
    <w:rsid w:val="001A4BB9"/>
    <w:rsid w:val="0021261C"/>
    <w:rsid w:val="002127C5"/>
    <w:rsid w:val="00216D57"/>
    <w:rsid w:val="00241690"/>
    <w:rsid w:val="002A381D"/>
    <w:rsid w:val="002B7DB3"/>
    <w:rsid w:val="002D0BF9"/>
    <w:rsid w:val="002F6637"/>
    <w:rsid w:val="00317D7E"/>
    <w:rsid w:val="00336B72"/>
    <w:rsid w:val="00385EC5"/>
    <w:rsid w:val="00387D60"/>
    <w:rsid w:val="00397974"/>
    <w:rsid w:val="003A3C0E"/>
    <w:rsid w:val="003C07D1"/>
    <w:rsid w:val="003C558E"/>
    <w:rsid w:val="003D7138"/>
    <w:rsid w:val="003E6D86"/>
    <w:rsid w:val="004076D3"/>
    <w:rsid w:val="004479B3"/>
    <w:rsid w:val="004555D1"/>
    <w:rsid w:val="00472D84"/>
    <w:rsid w:val="00477062"/>
    <w:rsid w:val="004903DE"/>
    <w:rsid w:val="004A2E96"/>
    <w:rsid w:val="004B10BF"/>
    <w:rsid w:val="004D5CF2"/>
    <w:rsid w:val="004E157E"/>
    <w:rsid w:val="00523AA6"/>
    <w:rsid w:val="00526356"/>
    <w:rsid w:val="00532A60"/>
    <w:rsid w:val="00566A62"/>
    <w:rsid w:val="00593A4E"/>
    <w:rsid w:val="005A2191"/>
    <w:rsid w:val="00605E10"/>
    <w:rsid w:val="0061056E"/>
    <w:rsid w:val="006272CD"/>
    <w:rsid w:val="00632724"/>
    <w:rsid w:val="00632A03"/>
    <w:rsid w:val="00634F94"/>
    <w:rsid w:val="00687863"/>
    <w:rsid w:val="00693983"/>
    <w:rsid w:val="006A0E1A"/>
    <w:rsid w:val="006A552B"/>
    <w:rsid w:val="006D18D1"/>
    <w:rsid w:val="006F6E53"/>
    <w:rsid w:val="00717890"/>
    <w:rsid w:val="00724AC1"/>
    <w:rsid w:val="00740AC6"/>
    <w:rsid w:val="00746947"/>
    <w:rsid w:val="007561ED"/>
    <w:rsid w:val="00781201"/>
    <w:rsid w:val="007C1D6C"/>
    <w:rsid w:val="007F010B"/>
    <w:rsid w:val="00803F5E"/>
    <w:rsid w:val="008170C2"/>
    <w:rsid w:val="00821135"/>
    <w:rsid w:val="00832E41"/>
    <w:rsid w:val="00835948"/>
    <w:rsid w:val="00842FBD"/>
    <w:rsid w:val="008456E4"/>
    <w:rsid w:val="00883C48"/>
    <w:rsid w:val="008952D2"/>
    <w:rsid w:val="008A2FDA"/>
    <w:rsid w:val="00924B8C"/>
    <w:rsid w:val="0096042B"/>
    <w:rsid w:val="00982797"/>
    <w:rsid w:val="009B3C4B"/>
    <w:rsid w:val="00A022CF"/>
    <w:rsid w:val="00A24093"/>
    <w:rsid w:val="00A40F86"/>
    <w:rsid w:val="00A448BF"/>
    <w:rsid w:val="00A738BB"/>
    <w:rsid w:val="00A81AB9"/>
    <w:rsid w:val="00AB52E0"/>
    <w:rsid w:val="00AE0CCC"/>
    <w:rsid w:val="00B174AF"/>
    <w:rsid w:val="00B320E7"/>
    <w:rsid w:val="00B44DBC"/>
    <w:rsid w:val="00B56566"/>
    <w:rsid w:val="00B73D2B"/>
    <w:rsid w:val="00B741BA"/>
    <w:rsid w:val="00B94544"/>
    <w:rsid w:val="00BB27D3"/>
    <w:rsid w:val="00BB52CA"/>
    <w:rsid w:val="00BB749E"/>
    <w:rsid w:val="00BC0FD4"/>
    <w:rsid w:val="00BD0E1E"/>
    <w:rsid w:val="00BD63E0"/>
    <w:rsid w:val="00BE4BB9"/>
    <w:rsid w:val="00BE59FB"/>
    <w:rsid w:val="00C02090"/>
    <w:rsid w:val="00C049EF"/>
    <w:rsid w:val="00C06211"/>
    <w:rsid w:val="00C12717"/>
    <w:rsid w:val="00C12E82"/>
    <w:rsid w:val="00C16A1F"/>
    <w:rsid w:val="00C21CBB"/>
    <w:rsid w:val="00C22BE2"/>
    <w:rsid w:val="00C71011"/>
    <w:rsid w:val="00C97FAF"/>
    <w:rsid w:val="00CA60FC"/>
    <w:rsid w:val="00CD57AA"/>
    <w:rsid w:val="00CE4D34"/>
    <w:rsid w:val="00CE7345"/>
    <w:rsid w:val="00D00729"/>
    <w:rsid w:val="00D079ED"/>
    <w:rsid w:val="00D21560"/>
    <w:rsid w:val="00D45017"/>
    <w:rsid w:val="00D46625"/>
    <w:rsid w:val="00D62503"/>
    <w:rsid w:val="00D81A5F"/>
    <w:rsid w:val="00D83A40"/>
    <w:rsid w:val="00DE0787"/>
    <w:rsid w:val="00E37CAE"/>
    <w:rsid w:val="00E4077A"/>
    <w:rsid w:val="00E673D3"/>
    <w:rsid w:val="00E810FF"/>
    <w:rsid w:val="00E82D5B"/>
    <w:rsid w:val="00E87C70"/>
    <w:rsid w:val="00E97450"/>
    <w:rsid w:val="00EA2FD7"/>
    <w:rsid w:val="00EB0B0C"/>
    <w:rsid w:val="00EF66ED"/>
    <w:rsid w:val="00F0249B"/>
    <w:rsid w:val="00F029E9"/>
    <w:rsid w:val="00F112EF"/>
    <w:rsid w:val="00F21DC5"/>
    <w:rsid w:val="00F27435"/>
    <w:rsid w:val="00F574A7"/>
    <w:rsid w:val="00F71B28"/>
    <w:rsid w:val="00F82EE3"/>
    <w:rsid w:val="00F8614A"/>
    <w:rsid w:val="00FA50F3"/>
    <w:rsid w:val="00FA6E05"/>
    <w:rsid w:val="00FB0C03"/>
    <w:rsid w:val="00FC5A49"/>
    <w:rsid w:val="00FF4706"/>
    <w:rsid w:val="0DBB04B8"/>
    <w:rsid w:val="107B0126"/>
    <w:rsid w:val="129C1248"/>
    <w:rsid w:val="13CD1F83"/>
    <w:rsid w:val="25C35A46"/>
    <w:rsid w:val="33581C7D"/>
    <w:rsid w:val="50504A79"/>
    <w:rsid w:val="53C62D65"/>
    <w:rsid w:val="5C143690"/>
    <w:rsid w:val="5CB52E19"/>
    <w:rsid w:val="609F207B"/>
    <w:rsid w:val="7CBE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DB49"/>
  <w15:docId w15:val="{4534BCCA-28B5-4798-98D1-19B58073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8F561-6FD2-4C00-A9B1-E679FFC4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dengyijiang</dc:creator>
  <cp:lastModifiedBy>wu chongjian</cp:lastModifiedBy>
  <cp:revision>24</cp:revision>
  <cp:lastPrinted>2020-01-21T07:11:00Z</cp:lastPrinted>
  <dcterms:created xsi:type="dcterms:W3CDTF">2020-01-21T01:49:00Z</dcterms:created>
  <dcterms:modified xsi:type="dcterms:W3CDTF">2020-01-22T02:50:00Z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